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76C1D" w14:textId="77777777" w:rsidR="000740EE" w:rsidRPr="00E803FD" w:rsidRDefault="000740EE" w:rsidP="00823760">
      <w:pPr>
        <w:spacing w:line="240" w:lineRule="auto"/>
        <w:jc w:val="center"/>
        <w:rPr>
          <w:b/>
          <w:bCs/>
        </w:rPr>
      </w:pPr>
      <w:r w:rsidRPr="00E803FD">
        <w:rPr>
          <w:b/>
          <w:bCs/>
        </w:rPr>
        <w:t>UNITED STATES DISTRICT COURT</w:t>
      </w:r>
    </w:p>
    <w:p w14:paraId="580B5246" w14:textId="77777777" w:rsidR="000740EE" w:rsidRDefault="000740EE" w:rsidP="00823760">
      <w:pPr>
        <w:spacing w:line="240" w:lineRule="auto"/>
        <w:jc w:val="center"/>
        <w:rPr>
          <w:b/>
          <w:bCs/>
        </w:rPr>
      </w:pPr>
      <w:r w:rsidRPr="00E803FD">
        <w:rPr>
          <w:b/>
          <w:bCs/>
        </w:rPr>
        <w:t>FOR THE SOUTHERN DISTRICT OF NEW YORK</w:t>
      </w:r>
    </w:p>
    <w:p w14:paraId="0F26A169" w14:textId="77777777" w:rsidR="00823760" w:rsidRPr="00E803FD" w:rsidRDefault="00823760" w:rsidP="00823760">
      <w:pPr>
        <w:spacing w:line="240" w:lineRule="auto"/>
        <w:jc w:val="center"/>
        <w:rPr>
          <w:b/>
          <w:bCs/>
        </w:rPr>
      </w:pPr>
    </w:p>
    <w:tbl>
      <w:tblPr>
        <w:tblStyle w:val="TableGrid"/>
        <w:tblW w:w="0" w:type="auto"/>
        <w:tblLook w:val="04A0" w:firstRow="1" w:lastRow="0" w:firstColumn="1" w:lastColumn="0" w:noHBand="0" w:noVBand="1"/>
      </w:tblPr>
      <w:tblGrid>
        <w:gridCol w:w="4675"/>
        <w:gridCol w:w="4675"/>
      </w:tblGrid>
      <w:tr w:rsidR="000740EE" w:rsidRPr="00E803FD" w14:paraId="01FCC163" w14:textId="77777777" w:rsidTr="23666342">
        <w:tc>
          <w:tcPr>
            <w:tcW w:w="4675" w:type="dxa"/>
            <w:tcBorders>
              <w:left w:val="nil"/>
            </w:tcBorders>
          </w:tcPr>
          <w:p w14:paraId="45603B0B" w14:textId="77777777" w:rsidR="000740EE" w:rsidRPr="00E803FD" w:rsidRDefault="000740EE" w:rsidP="00FC73FB">
            <w:pPr>
              <w:spacing w:line="240" w:lineRule="auto"/>
              <w:ind w:firstLine="69"/>
              <w:jc w:val="left"/>
            </w:pPr>
            <w:r w:rsidRPr="00E803FD">
              <w:t xml:space="preserve">[CLIENT NAME], </w:t>
            </w:r>
          </w:p>
          <w:p w14:paraId="17C5F941" w14:textId="330A234E" w:rsidR="000740EE" w:rsidRPr="00E803FD" w:rsidRDefault="00A240AF" w:rsidP="00FC73FB">
            <w:pPr>
              <w:spacing w:line="240" w:lineRule="auto"/>
              <w:ind w:firstLine="69"/>
              <w:jc w:val="left"/>
            </w:pPr>
            <w:r>
              <w:t xml:space="preserve">   </w:t>
            </w:r>
          </w:p>
          <w:p w14:paraId="20F7E771" w14:textId="77777777" w:rsidR="000740EE" w:rsidRPr="00E803FD" w:rsidRDefault="000740EE" w:rsidP="00FC73FB">
            <w:pPr>
              <w:spacing w:line="240" w:lineRule="auto"/>
              <w:ind w:left="3035" w:firstLine="69"/>
              <w:jc w:val="left"/>
            </w:pPr>
            <w:r w:rsidRPr="00E803FD">
              <w:rPr>
                <w:i/>
                <w:iCs/>
              </w:rPr>
              <w:t>Petitioner</w:t>
            </w:r>
            <w:r w:rsidRPr="00E803FD">
              <w:t>,</w:t>
            </w:r>
          </w:p>
          <w:p w14:paraId="61768FB3" w14:textId="77777777" w:rsidR="000740EE" w:rsidRPr="00E803FD" w:rsidRDefault="000740EE" w:rsidP="00FC73FB">
            <w:pPr>
              <w:spacing w:line="240" w:lineRule="auto"/>
              <w:ind w:left="1410" w:firstLine="69"/>
              <w:jc w:val="left"/>
            </w:pPr>
            <w:r w:rsidRPr="00E803FD">
              <w:t>-against-</w:t>
            </w:r>
          </w:p>
          <w:p w14:paraId="1C73A1F8" w14:textId="77777777" w:rsidR="000740EE" w:rsidRPr="00E803FD" w:rsidRDefault="000740EE" w:rsidP="00FC73FB">
            <w:pPr>
              <w:spacing w:line="240" w:lineRule="auto"/>
              <w:ind w:left="1410" w:firstLine="69"/>
              <w:jc w:val="left"/>
            </w:pPr>
          </w:p>
          <w:p w14:paraId="1B1955B4" w14:textId="5D44F113" w:rsidR="000740EE" w:rsidRPr="00E803FD" w:rsidRDefault="000740EE" w:rsidP="00FC73FB">
            <w:pPr>
              <w:spacing w:line="240" w:lineRule="auto"/>
              <w:ind w:firstLine="69"/>
              <w:jc w:val="left"/>
            </w:pPr>
            <w:commentRangeStart w:id="0"/>
            <w:r w:rsidRPr="23666342">
              <w:rPr>
                <w:color w:val="000000" w:themeColor="text1"/>
              </w:rPr>
              <w:t xml:space="preserve">JUDITH ALMODOVAR, in her official capacity </w:t>
            </w:r>
            <w:r w:rsidRPr="00823760">
              <w:rPr>
                <w:color w:val="000000" w:themeColor="text1"/>
              </w:rPr>
              <w:t xml:space="preserve">as Acting </w:t>
            </w:r>
            <w:r w:rsidR="28D2C4A1" w:rsidRPr="00823760">
              <w:rPr>
                <w:color w:val="000000" w:themeColor="text1"/>
              </w:rPr>
              <w:t xml:space="preserve">New York City Immigration and Customs Enforcement </w:t>
            </w:r>
            <w:r w:rsidRPr="00823760">
              <w:rPr>
                <w:color w:val="000000" w:themeColor="text1"/>
              </w:rPr>
              <w:t>Field Office Director, TODD LYONS, Acting Director, U.S. Immigration</w:t>
            </w:r>
            <w:r w:rsidRPr="23666342">
              <w:rPr>
                <w:color w:val="000000" w:themeColor="text1"/>
              </w:rPr>
              <w:t xml:space="preserve"> and Customs Enforcement, KRISTI NOEM, in her official capacity as Secretary of the United States Department of Homeland Security; U.S. DEPARTMENT OF HOMELAND SECURITY, and U.S. IMMIGRATION AND CUSTOMS ENFORCMENT</w:t>
            </w:r>
            <w:commentRangeEnd w:id="0"/>
            <w:r w:rsidR="00823760">
              <w:rPr>
                <w:rStyle w:val="CommentReference"/>
              </w:rPr>
              <w:commentReference w:id="0"/>
            </w:r>
            <w:r w:rsidRPr="23666342">
              <w:rPr>
                <w:color w:val="000000" w:themeColor="text1"/>
              </w:rPr>
              <w:t>,</w:t>
            </w:r>
          </w:p>
          <w:p w14:paraId="35F98D1E" w14:textId="1C7349D0" w:rsidR="000740EE" w:rsidRPr="00E803FD" w:rsidRDefault="00A240AF" w:rsidP="00FC73FB">
            <w:pPr>
              <w:spacing w:line="240" w:lineRule="auto"/>
              <w:ind w:firstLine="69"/>
              <w:jc w:val="left"/>
              <w:rPr>
                <w:u w:val="single"/>
              </w:rPr>
            </w:pPr>
            <w:r>
              <w:rPr>
                <w:u w:val="single"/>
              </w:rPr>
              <w:t xml:space="preserve">  </w:t>
            </w:r>
          </w:p>
          <w:p w14:paraId="41A7909D" w14:textId="77777777" w:rsidR="000740EE" w:rsidRPr="00E803FD" w:rsidRDefault="000740EE" w:rsidP="00823760">
            <w:pPr>
              <w:spacing w:line="240" w:lineRule="auto"/>
              <w:ind w:left="2160"/>
              <w:rPr>
                <w:i/>
                <w:iCs/>
              </w:rPr>
            </w:pPr>
            <w:r w:rsidRPr="00E803FD">
              <w:rPr>
                <w:i/>
                <w:iCs/>
              </w:rPr>
              <w:t>Respondents.</w:t>
            </w:r>
          </w:p>
          <w:p w14:paraId="5463B345" w14:textId="77777777" w:rsidR="000740EE" w:rsidRPr="00E803FD" w:rsidRDefault="000740EE" w:rsidP="00823760">
            <w:pPr>
              <w:spacing w:line="240" w:lineRule="auto"/>
              <w:rPr>
                <w:u w:val="single"/>
              </w:rPr>
            </w:pPr>
          </w:p>
        </w:tc>
        <w:tc>
          <w:tcPr>
            <w:tcW w:w="4675" w:type="dxa"/>
            <w:tcBorders>
              <w:top w:val="nil"/>
              <w:bottom w:val="nil"/>
              <w:right w:val="nil"/>
            </w:tcBorders>
          </w:tcPr>
          <w:p w14:paraId="0FE14EE9" w14:textId="77777777" w:rsidR="000740EE" w:rsidRPr="00E803FD" w:rsidRDefault="000740EE" w:rsidP="00823760">
            <w:pPr>
              <w:spacing w:line="240" w:lineRule="auto"/>
              <w:ind w:left="346" w:right="341"/>
            </w:pPr>
          </w:p>
          <w:p w14:paraId="20E9B3A5" w14:textId="77777777" w:rsidR="00FC73FB" w:rsidRDefault="00FC73FB" w:rsidP="00FC73FB">
            <w:pPr>
              <w:spacing w:line="240" w:lineRule="auto"/>
              <w:ind w:right="341" w:firstLine="0"/>
            </w:pPr>
          </w:p>
          <w:p w14:paraId="1078B678" w14:textId="50F6A376" w:rsidR="000740EE" w:rsidRPr="00E803FD" w:rsidRDefault="000740EE" w:rsidP="00FC73FB">
            <w:pPr>
              <w:spacing w:line="240" w:lineRule="auto"/>
              <w:ind w:right="341" w:firstLine="0"/>
              <w:rPr>
                <w:u w:val="single"/>
              </w:rPr>
            </w:pPr>
            <w:r w:rsidRPr="00E803FD">
              <w:t>Case No. ##</w:t>
            </w:r>
          </w:p>
        </w:tc>
      </w:tr>
    </w:tbl>
    <w:p w14:paraId="58939162" w14:textId="77777777" w:rsidR="000740EE" w:rsidRPr="00E803FD" w:rsidRDefault="000740EE" w:rsidP="000740EE"/>
    <w:p w14:paraId="1E766FB1" w14:textId="61C5DC0F" w:rsidR="00101D6D" w:rsidRDefault="00101D6D" w:rsidP="00101D6D">
      <w:pPr>
        <w:pStyle w:val="Heading1"/>
      </w:pPr>
      <w:r>
        <w:t>PETITIONER’S</w:t>
      </w:r>
      <w:r w:rsidRPr="00E25E8E">
        <w:t xml:space="preserve"> </w:t>
      </w:r>
      <w:r w:rsidR="00AB1C02">
        <w:t xml:space="preserve">MEMORANDUM OF LAW IN SUPPORT OF </w:t>
      </w:r>
      <w:r w:rsidRPr="00194503">
        <w:rPr>
          <w:highlight w:val="yellow"/>
        </w:rPr>
        <w:t>[UNOPPOSED]</w:t>
      </w:r>
      <w:r>
        <w:t xml:space="preserve"> </w:t>
      </w:r>
      <w:r w:rsidRPr="00E25E8E">
        <w:t>MOTION TO PROCEEED UNDER INITIALS ONLY, TO REDACT REFERENCES TO PETITIONER’S IDENTITY IN ALL SUBSEQUENT SUBMISSIONS, ORDERS AND OPINIONS, AND TO REQUIRE FILING UNDER SEAL OF THE PETITION AN</w:t>
      </w:r>
      <w:bookmarkStart w:id="1" w:name="_GoBack"/>
      <w:bookmarkEnd w:id="1"/>
      <w:r w:rsidRPr="00E25E8E">
        <w:t>D SUPPORTING EXHIBITS</w:t>
      </w:r>
    </w:p>
    <w:p w14:paraId="3BA88453" w14:textId="77777777" w:rsidR="000740EE" w:rsidRPr="00E803FD" w:rsidRDefault="000740EE" w:rsidP="000740EE">
      <w:pPr>
        <w:pStyle w:val="ListParagraph"/>
        <w:numPr>
          <w:ilvl w:val="0"/>
          <w:numId w:val="0"/>
        </w:numPr>
        <w:ind w:left="1440"/>
      </w:pPr>
    </w:p>
    <w:tbl>
      <w:tblPr>
        <w:tblStyle w:val="TableGrid1"/>
        <w:tblW w:w="943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28"/>
      </w:tblGrid>
      <w:tr w:rsidR="000740EE" w:rsidRPr="00E803FD" w14:paraId="1A5AC529" w14:textId="77777777" w:rsidTr="00D7442F">
        <w:trPr>
          <w:trHeight w:val="894"/>
        </w:trPr>
        <w:tc>
          <w:tcPr>
            <w:tcW w:w="4706" w:type="dxa"/>
          </w:tcPr>
          <w:p w14:paraId="4AE93320" w14:textId="77777777" w:rsidR="000740EE" w:rsidRPr="00E803FD" w:rsidRDefault="000740EE" w:rsidP="000740EE">
            <w:pPr>
              <w:spacing w:after="160" w:line="259" w:lineRule="auto"/>
            </w:pPr>
          </w:p>
        </w:tc>
        <w:tc>
          <w:tcPr>
            <w:tcW w:w="4728" w:type="dxa"/>
          </w:tcPr>
          <w:p w14:paraId="6F5B3DB2" w14:textId="77777777" w:rsidR="000740EE" w:rsidRPr="00E803FD" w:rsidRDefault="000740EE" w:rsidP="00D7442F"/>
        </w:tc>
      </w:tr>
    </w:tbl>
    <w:p w14:paraId="274A7429" w14:textId="77777777" w:rsidR="000740EE" w:rsidRPr="00E803FD" w:rsidRDefault="000740EE" w:rsidP="000740EE">
      <w:pPr>
        <w:contextualSpacing/>
      </w:pPr>
    </w:p>
    <w:p w14:paraId="6E57208F" w14:textId="77777777" w:rsidR="000740EE" w:rsidRPr="00E803FD" w:rsidRDefault="000740EE" w:rsidP="000740EE"/>
    <w:p w14:paraId="21BBE906" w14:textId="77777777" w:rsidR="00FC73FB" w:rsidRDefault="000740EE">
      <w:pPr>
        <w:spacing w:after="160" w:line="259" w:lineRule="auto"/>
        <w:sectPr w:rsidR="00FC73FB" w:rsidSect="00FC73FB">
          <w:footerReference w:type="even" r:id="rId14"/>
          <w:footerReference w:type="default" r:id="rId15"/>
          <w:pgSz w:w="12240" w:h="15840"/>
          <w:pgMar w:top="1440" w:right="1440" w:bottom="1440" w:left="1440" w:header="720" w:footer="720" w:gutter="0"/>
          <w:pgNumType w:start="1"/>
          <w:cols w:space="720"/>
          <w:titlePg/>
        </w:sectPr>
      </w:pPr>
      <w:r w:rsidRPr="00E803FD">
        <w:br w:type="page"/>
      </w:r>
    </w:p>
    <w:p w14:paraId="2690BE87" w14:textId="77777777" w:rsidR="004B32A0" w:rsidRPr="00E803FD" w:rsidRDefault="004B32A0" w:rsidP="00FC73FB">
      <w:pPr>
        <w:pStyle w:val="Heading1"/>
      </w:pPr>
      <w:bookmarkStart w:id="2" w:name="_Toc203055675"/>
      <w:r w:rsidRPr="00E803FD">
        <w:lastRenderedPageBreak/>
        <w:t>PRELIMINARY STATEMENT</w:t>
      </w:r>
      <w:bookmarkEnd w:id="2"/>
      <w:r w:rsidRPr="00E803FD">
        <w:t xml:space="preserve"> </w:t>
      </w:r>
    </w:p>
    <w:p w14:paraId="6FFC3AFD" w14:textId="4C68FBD7" w:rsidR="003F57E6" w:rsidRPr="00E803FD" w:rsidRDefault="004B32A0" w:rsidP="003F57E6">
      <w:r w:rsidRPr="23666342">
        <w:rPr>
          <w:color w:val="000000" w:themeColor="text1"/>
        </w:rPr>
        <w:t>Petitioner</w:t>
      </w:r>
      <w:r w:rsidR="008663C5">
        <w:rPr>
          <w:color w:val="000000" w:themeColor="text1"/>
        </w:rPr>
        <w:t xml:space="preserve"> </w:t>
      </w:r>
      <w:r w:rsidR="001F1988">
        <w:rPr>
          <w:color w:val="000000" w:themeColor="text1"/>
          <w:highlight w:val="yellow"/>
        </w:rPr>
        <w:t>[</w:t>
      </w:r>
      <w:r w:rsidR="001F1988" w:rsidRPr="001F1988">
        <w:rPr>
          <w:color w:val="000000" w:themeColor="text1"/>
          <w:highlight w:val="yellow"/>
        </w:rPr>
        <w:t>Initials</w:t>
      </w:r>
      <w:r w:rsidR="001F1988">
        <w:rPr>
          <w:color w:val="000000" w:themeColor="text1"/>
          <w:highlight w:val="yellow"/>
        </w:rPr>
        <w:t>]</w:t>
      </w:r>
      <w:r w:rsidR="001F1988">
        <w:rPr>
          <w:color w:val="000000" w:themeColor="text1"/>
        </w:rPr>
        <w:t xml:space="preserve"> </w:t>
      </w:r>
      <w:r w:rsidR="003F57E6">
        <w:rPr>
          <w:color w:val="000000" w:themeColor="text1"/>
        </w:rPr>
        <w:t xml:space="preserve">moves for permission to proceed by pseudonym, specifically by initials only, in the above-captioned case. The named Petitioner is challenging his/her detention in immigration custody, which includes discussion of </w:t>
      </w:r>
      <w:r w:rsidR="003F57E6" w:rsidRPr="001F1988">
        <w:rPr>
          <w:highlight w:val="yellow"/>
        </w:rPr>
        <w:t>[Details regarding basis of important safety and privacy interests].</w:t>
      </w:r>
      <w:r w:rsidR="003F57E6" w:rsidRPr="00E803FD">
        <w:t xml:space="preserve"> </w:t>
      </w:r>
    </w:p>
    <w:p w14:paraId="1D05FFFD" w14:textId="1424EEE2" w:rsidR="004B32A0" w:rsidRPr="00E803FD" w:rsidRDefault="003F57E6" w:rsidP="0057525A">
      <w:r>
        <w:t>Petitioner asks this Court to grant anonymity because the Habeas Petition contains, and subsequent filings will contain, highly sensitive personal information about his/her immigration status and personal history. Furthermore</w:t>
      </w:r>
      <w:r w:rsidR="0057525A">
        <w:t>,</w:t>
      </w:r>
      <w:r w:rsidR="004B32A0" w:rsidRPr="00E803FD">
        <w:t xml:space="preserve"> </w:t>
      </w:r>
      <w:r>
        <w:t xml:space="preserve">Respondents will not be prejudiced in their ability to litigate the Constitutionality of Petitioner’s detention, and the public’s interest in knowing his/her identity is minimal. Petitioner </w:t>
      </w:r>
      <w:r w:rsidR="001F1988" w:rsidRPr="001F1988">
        <w:rPr>
          <w:highlight w:val="yellow"/>
        </w:rPr>
        <w:t>[initials]</w:t>
      </w:r>
      <w:r w:rsidR="001F1988">
        <w:t xml:space="preserve"> has made the Government aware of Petitioner’s identity, and </w:t>
      </w:r>
      <w:r w:rsidRPr="001F1988">
        <w:rPr>
          <w:highlight w:val="yellow"/>
        </w:rPr>
        <w:t>[has provided]</w:t>
      </w:r>
      <w:r>
        <w:t xml:space="preserve"> Respondents with unredacted copies of </w:t>
      </w:r>
      <w:r w:rsidRPr="001F1988">
        <w:rPr>
          <w:highlight w:val="yellow"/>
        </w:rPr>
        <w:t>[</w:t>
      </w:r>
      <w:r w:rsidR="001F1988">
        <w:rPr>
          <w:highlight w:val="yellow"/>
        </w:rPr>
        <w:t>the Petition and supporting exhibits</w:t>
      </w:r>
      <w:r w:rsidRPr="001F1988">
        <w:rPr>
          <w:highlight w:val="yellow"/>
        </w:rPr>
        <w:t>].</w:t>
      </w:r>
      <w:r>
        <w:t xml:space="preserve"> </w:t>
      </w:r>
    </w:p>
    <w:p w14:paraId="4981587C" w14:textId="1DC8325C" w:rsidR="004B32A0" w:rsidRPr="00E803FD" w:rsidRDefault="004B32A0" w:rsidP="00823760">
      <w:pPr>
        <w:pStyle w:val="Heading1"/>
      </w:pPr>
      <w:r w:rsidRPr="00E803FD">
        <w:t>STATEMENT OF RELEVANT FACTS AND PROCEDURAL HISTORY</w:t>
      </w:r>
    </w:p>
    <w:p w14:paraId="2440B43D" w14:textId="2AD056BD" w:rsidR="004B32A0" w:rsidRPr="00E803FD" w:rsidRDefault="00F37D78" w:rsidP="00823760">
      <w:pPr>
        <w:ind w:firstLine="0"/>
      </w:pPr>
      <w:r w:rsidRPr="001F1988">
        <w:rPr>
          <w:highlight w:val="yellow"/>
        </w:rPr>
        <w:t>[Details regarding the compelling circumstances – safety and privacy interest.]</w:t>
      </w:r>
    </w:p>
    <w:p w14:paraId="1BD42D28" w14:textId="7676D82C" w:rsidR="004B32A0" w:rsidRPr="00E803FD" w:rsidRDefault="00F37D78" w:rsidP="0057525A">
      <w:pPr>
        <w:ind w:firstLine="0"/>
      </w:pPr>
      <w:r w:rsidRPr="001F1988">
        <w:rPr>
          <w:highlight w:val="yellow"/>
        </w:rPr>
        <w:t xml:space="preserve">[Details regarding filing of the within case, raising claims of </w:t>
      </w:r>
      <w:proofErr w:type="spellStart"/>
      <w:r w:rsidRPr="001F1988">
        <w:rPr>
          <w:highlight w:val="yellow"/>
        </w:rPr>
        <w:t>xyz</w:t>
      </w:r>
      <w:proofErr w:type="spellEnd"/>
      <w:r w:rsidRPr="001F1988">
        <w:rPr>
          <w:highlight w:val="yellow"/>
        </w:rPr>
        <w:t>.]</w:t>
      </w:r>
      <w:r w:rsidRPr="00E803FD">
        <w:t xml:space="preserve"> </w:t>
      </w:r>
    </w:p>
    <w:p w14:paraId="41618C74" w14:textId="77777777" w:rsidR="004B32A0" w:rsidRPr="00E803FD" w:rsidRDefault="004B32A0" w:rsidP="004B32A0">
      <w:pPr>
        <w:pStyle w:val="Heading1"/>
      </w:pPr>
      <w:bookmarkStart w:id="3" w:name="_Toc203055676"/>
      <w:r w:rsidRPr="00E803FD">
        <w:rPr>
          <w:caps/>
        </w:rPr>
        <w:t>ARGUMENT</w:t>
      </w:r>
      <w:bookmarkEnd w:id="3"/>
      <w:r w:rsidRPr="00E803FD">
        <w:rPr>
          <w:caps/>
        </w:rPr>
        <w:t xml:space="preserve"> </w:t>
      </w:r>
    </w:p>
    <w:p w14:paraId="56560266" w14:textId="3CAA78E5" w:rsidR="004B32A0" w:rsidRPr="00E803FD" w:rsidRDefault="00F37D78" w:rsidP="0057525A">
      <w:pPr>
        <w:pStyle w:val="Heading2"/>
      </w:pPr>
      <w:r w:rsidRPr="23666342">
        <w:t xml:space="preserve">Petitioner </w:t>
      </w:r>
      <w:r w:rsidR="003B1FCA" w:rsidRPr="23666342">
        <w:t xml:space="preserve">Meets The Standard </w:t>
      </w:r>
      <w:r w:rsidR="003B1FCA">
        <w:t>to</w:t>
      </w:r>
      <w:r w:rsidR="003B1FCA" w:rsidRPr="23666342">
        <w:t xml:space="preserve"> Proceed Under Initials Only </w:t>
      </w:r>
      <w:r w:rsidR="003B1FCA">
        <w:t>t</w:t>
      </w:r>
      <w:r w:rsidR="003B1FCA" w:rsidRPr="23666342">
        <w:t>o Protect [His/Her</w:t>
      </w:r>
      <w:r w:rsidR="003B1FCA">
        <w:t>/Their</w:t>
      </w:r>
      <w:r w:rsidR="003B1FCA" w:rsidRPr="23666342">
        <w:t xml:space="preserve">] Privacy </w:t>
      </w:r>
      <w:r w:rsidR="003B1FCA">
        <w:t>a</w:t>
      </w:r>
      <w:r w:rsidR="003B1FCA" w:rsidRPr="23666342">
        <w:t xml:space="preserve">nd Safety Interests </w:t>
      </w:r>
    </w:p>
    <w:p w14:paraId="2E1A8BF3" w14:textId="1EC8D8D0" w:rsidR="00FA44FC" w:rsidRPr="0057525A" w:rsidRDefault="00FA44FC" w:rsidP="0057525A">
      <w:pPr>
        <w:pStyle w:val="Heading3"/>
        <w:numPr>
          <w:ilvl w:val="0"/>
          <w:numId w:val="10"/>
        </w:numPr>
        <w:ind w:firstLine="0"/>
        <w:rPr>
          <w:rFonts w:cs="Times New Roman"/>
        </w:rPr>
      </w:pPr>
      <w:r w:rsidRPr="00E803FD">
        <w:rPr>
          <w:rFonts w:cs="Times New Roman"/>
        </w:rPr>
        <w:t>Applicable legal standard</w:t>
      </w:r>
    </w:p>
    <w:p w14:paraId="4A3AFF21" w14:textId="60AE655A" w:rsidR="00FA44FC" w:rsidRPr="00E803FD" w:rsidRDefault="0057525A" w:rsidP="00FA44FC">
      <w:r>
        <w:t>Federal Rule of Civil Procedure</w:t>
      </w:r>
      <w:r w:rsidR="00FA44FC" w:rsidRPr="00E803FD">
        <w:t xml:space="preserve"> 10(a) requires that </w:t>
      </w:r>
      <w:r>
        <w:t xml:space="preserve">the </w:t>
      </w:r>
      <w:r w:rsidR="00FA44FC" w:rsidRPr="00E803FD">
        <w:t xml:space="preserve">plaintiff must name the parties in a complaint. However, a plaintiff may be granted permission to proceed anonymously in an appropriate case. To determine whether the court should grant such an exception, the </w:t>
      </w:r>
      <w:r w:rsidR="00E803FD">
        <w:t xml:space="preserve">movant’s </w:t>
      </w:r>
      <w:r w:rsidR="00FA44FC" w:rsidRPr="00E803FD">
        <w:t xml:space="preserve">interest in anonymity </w:t>
      </w:r>
      <w:r w:rsidR="00E803FD">
        <w:t xml:space="preserve">is balanced </w:t>
      </w:r>
      <w:r w:rsidR="00FA44FC" w:rsidRPr="00E803FD">
        <w:t xml:space="preserve">against the public’s interest in disclosure and potential prejudice to the defendant. Courts in the Second Circuit apply a multi-factor balancing test set forth in </w:t>
      </w:r>
      <w:r w:rsidR="00FA44FC" w:rsidRPr="00E803FD">
        <w:rPr>
          <w:i/>
          <w:iCs/>
          <w:bdr w:val="none" w:sz="0" w:space="0" w:color="auto" w:frame="1"/>
        </w:rPr>
        <w:t>Sealed Plaintiff v. Sealed Defendant</w:t>
      </w:r>
      <w:r w:rsidR="00FA44FC" w:rsidRPr="00E803FD">
        <w:rPr>
          <w:bdr w:val="none" w:sz="0" w:space="0" w:color="auto" w:frame="1"/>
        </w:rPr>
        <w:t>, 537 F.3d 185, 189</w:t>
      </w:r>
      <w:r w:rsidR="00A35E0B">
        <w:rPr>
          <w:bdr w:val="none" w:sz="0" w:space="0" w:color="auto" w:frame="1"/>
        </w:rPr>
        <w:t>–90</w:t>
      </w:r>
      <w:r w:rsidR="00FA44FC" w:rsidRPr="00E803FD">
        <w:rPr>
          <w:bdr w:val="none" w:sz="0" w:space="0" w:color="auto" w:frame="1"/>
        </w:rPr>
        <w:t xml:space="preserve"> (2d C</w:t>
      </w:r>
      <w:r w:rsidR="00A00250">
        <w:rPr>
          <w:bdr w:val="none" w:sz="0" w:space="0" w:color="auto" w:frame="1"/>
        </w:rPr>
        <w:t>ir</w:t>
      </w:r>
      <w:r w:rsidR="00FA44FC" w:rsidRPr="00E803FD">
        <w:rPr>
          <w:bdr w:val="none" w:sz="0" w:space="0" w:color="auto" w:frame="1"/>
        </w:rPr>
        <w:t xml:space="preserve">. 2008). </w:t>
      </w:r>
      <w:r w:rsidR="00FA44FC" w:rsidRPr="00E803FD">
        <w:rPr>
          <w:i/>
          <w:bdr w:val="none" w:sz="0" w:space="0" w:color="auto" w:frame="1"/>
        </w:rPr>
        <w:t>See e.g.</w:t>
      </w:r>
      <w:r w:rsidR="00A35E0B" w:rsidRPr="00A35E0B">
        <w:rPr>
          <w:iCs/>
          <w:bdr w:val="none" w:sz="0" w:space="0" w:color="auto" w:frame="1"/>
        </w:rPr>
        <w:t>,</w:t>
      </w:r>
      <w:r w:rsidR="00FA44FC" w:rsidRPr="00E803FD">
        <w:rPr>
          <w:i/>
          <w:bdr w:val="none" w:sz="0" w:space="0" w:color="auto" w:frame="1"/>
        </w:rPr>
        <w:t xml:space="preserve"> </w:t>
      </w:r>
      <w:r w:rsidR="00FA44FC" w:rsidRPr="00E803FD">
        <w:rPr>
          <w:i/>
          <w:bdr w:val="none" w:sz="0" w:space="0" w:color="auto" w:frame="1"/>
          <w:shd w:val="clear" w:color="auto" w:fill="FFFFFF"/>
        </w:rPr>
        <w:t>S.D. v Decker</w:t>
      </w:r>
      <w:r w:rsidR="00FA44FC" w:rsidRPr="00E803FD">
        <w:rPr>
          <w:bdr w:val="none" w:sz="0" w:space="0" w:color="auto" w:frame="1"/>
          <w:shd w:val="clear" w:color="auto" w:fill="FFFFFF"/>
        </w:rPr>
        <w:t xml:space="preserve">, </w:t>
      </w:r>
      <w:r w:rsidR="00E603B6" w:rsidRPr="00E803FD">
        <w:rPr>
          <w:bdr w:val="none" w:sz="0" w:space="0" w:color="auto" w:frame="1"/>
          <w:shd w:val="clear" w:color="auto" w:fill="FFFFFF"/>
        </w:rPr>
        <w:t xml:space="preserve">No. </w:t>
      </w:r>
      <w:r w:rsidR="00E603B6" w:rsidRPr="00E803FD">
        <w:rPr>
          <w:bdr w:val="none" w:sz="0" w:space="0" w:color="auto" w:frame="1"/>
          <w:shd w:val="clear" w:color="auto" w:fill="FFFFFF"/>
        </w:rPr>
        <w:lastRenderedPageBreak/>
        <w:t>22-CV-3063 (VSB) (BCM)</w:t>
      </w:r>
      <w:r w:rsidR="00E603B6">
        <w:rPr>
          <w:bdr w:val="none" w:sz="0" w:space="0" w:color="auto" w:frame="1"/>
          <w:shd w:val="clear" w:color="auto" w:fill="FFFFFF"/>
        </w:rPr>
        <w:t xml:space="preserve">, </w:t>
      </w:r>
      <w:r w:rsidR="00E603B6" w:rsidRPr="00E603B6">
        <w:rPr>
          <w:bdr w:val="none" w:sz="0" w:space="0" w:color="auto" w:frame="1"/>
          <w:shd w:val="clear" w:color="auto" w:fill="FFFFFF"/>
        </w:rPr>
        <w:t>2022 WL 1239589</w:t>
      </w:r>
      <w:r w:rsidR="00FA44FC" w:rsidRPr="00E803FD">
        <w:rPr>
          <w:bdr w:val="none" w:sz="0" w:space="0" w:color="auto" w:frame="1"/>
          <w:shd w:val="clear" w:color="auto" w:fill="FFFFFF"/>
        </w:rPr>
        <w:t>, at *</w:t>
      </w:r>
      <w:r w:rsidR="00D67677">
        <w:rPr>
          <w:bdr w:val="none" w:sz="0" w:space="0" w:color="auto" w:frame="1"/>
          <w:shd w:val="clear" w:color="auto" w:fill="FFFFFF"/>
        </w:rPr>
        <w:t>2</w:t>
      </w:r>
      <w:r w:rsidR="00FA44FC" w:rsidRPr="00E803FD">
        <w:rPr>
          <w:bdr w:val="none" w:sz="0" w:space="0" w:color="auto" w:frame="1"/>
          <w:shd w:val="clear" w:color="auto" w:fill="FFFFFF"/>
        </w:rPr>
        <w:t xml:space="preserve"> (S</w:t>
      </w:r>
      <w:r w:rsidR="00E603B6">
        <w:rPr>
          <w:bdr w:val="none" w:sz="0" w:space="0" w:color="auto" w:frame="1"/>
          <w:shd w:val="clear" w:color="auto" w:fill="FFFFFF"/>
        </w:rPr>
        <w:t>.</w:t>
      </w:r>
      <w:r w:rsidR="00FA44FC" w:rsidRPr="00E803FD">
        <w:rPr>
          <w:bdr w:val="none" w:sz="0" w:space="0" w:color="auto" w:frame="1"/>
          <w:shd w:val="clear" w:color="auto" w:fill="FFFFFF"/>
        </w:rPr>
        <w:t>D</w:t>
      </w:r>
      <w:r w:rsidR="00E603B6">
        <w:rPr>
          <w:bdr w:val="none" w:sz="0" w:space="0" w:color="auto" w:frame="1"/>
          <w:shd w:val="clear" w:color="auto" w:fill="FFFFFF"/>
        </w:rPr>
        <w:t>.</w:t>
      </w:r>
      <w:r w:rsidR="00FA44FC" w:rsidRPr="00E803FD">
        <w:rPr>
          <w:bdr w:val="none" w:sz="0" w:space="0" w:color="auto" w:frame="1"/>
          <w:shd w:val="clear" w:color="auto" w:fill="FFFFFF"/>
        </w:rPr>
        <w:t>N</w:t>
      </w:r>
      <w:r w:rsidR="00E603B6">
        <w:rPr>
          <w:bdr w:val="none" w:sz="0" w:space="0" w:color="auto" w:frame="1"/>
          <w:shd w:val="clear" w:color="auto" w:fill="FFFFFF"/>
        </w:rPr>
        <w:t>.</w:t>
      </w:r>
      <w:r w:rsidR="00FA44FC" w:rsidRPr="00E803FD">
        <w:rPr>
          <w:bdr w:val="none" w:sz="0" w:space="0" w:color="auto" w:frame="1"/>
          <w:shd w:val="clear" w:color="auto" w:fill="FFFFFF"/>
        </w:rPr>
        <w:t>Y</w:t>
      </w:r>
      <w:r w:rsidR="00E603B6">
        <w:rPr>
          <w:bdr w:val="none" w:sz="0" w:space="0" w:color="auto" w:frame="1"/>
          <w:shd w:val="clear" w:color="auto" w:fill="FFFFFF"/>
        </w:rPr>
        <w:t>.</w:t>
      </w:r>
      <w:r w:rsidR="00FA44FC" w:rsidRPr="00E803FD">
        <w:rPr>
          <w:bdr w:val="none" w:sz="0" w:space="0" w:color="auto" w:frame="1"/>
          <w:shd w:val="clear" w:color="auto" w:fill="FFFFFF"/>
        </w:rPr>
        <w:t xml:space="preserve"> Apr. 27, 2022</w:t>
      </w:r>
      <w:r w:rsidR="00E603B6">
        <w:rPr>
          <w:bdr w:val="none" w:sz="0" w:space="0" w:color="auto" w:frame="1"/>
          <w:shd w:val="clear" w:color="auto" w:fill="FFFFFF"/>
        </w:rPr>
        <w:t>)</w:t>
      </w:r>
      <w:r w:rsidR="00577BB2" w:rsidRPr="00E803FD">
        <w:rPr>
          <w:bdr w:val="none" w:sz="0" w:space="0" w:color="auto" w:frame="1"/>
          <w:shd w:val="clear" w:color="auto" w:fill="FFFFFF"/>
        </w:rPr>
        <w:t xml:space="preserve">. </w:t>
      </w:r>
      <w:r w:rsidR="00FA44FC" w:rsidRPr="00E803FD">
        <w:rPr>
          <w:bdr w:val="none" w:sz="0" w:space="0" w:color="auto" w:frame="1"/>
        </w:rPr>
        <w:t>The factors, summarized, are:</w:t>
      </w:r>
    </w:p>
    <w:p w14:paraId="545A690F" w14:textId="77777777" w:rsidR="00FA44FC" w:rsidRPr="00E803FD" w:rsidRDefault="00FA44FC" w:rsidP="23666342">
      <w:pPr>
        <w:pStyle w:val="ListParagraph"/>
        <w:spacing w:after="160" w:line="259" w:lineRule="auto"/>
        <w:ind w:right="720"/>
      </w:pPr>
      <w:r>
        <w:t>Whether the litigation involves highly sensitive and personal matters;</w:t>
      </w:r>
    </w:p>
    <w:p w14:paraId="2B7D36A6" w14:textId="213CCB4D" w:rsidR="00FA44FC" w:rsidRPr="00E803FD" w:rsidRDefault="00FA44FC" w:rsidP="23666342">
      <w:pPr>
        <w:pStyle w:val="ListParagraph"/>
        <w:spacing w:after="160" w:line="259" w:lineRule="auto"/>
        <w:ind w:right="720"/>
      </w:pPr>
      <w:r>
        <w:t>The risk of retaliatory harm, physical or mental, to the movant or innocent third parties;</w:t>
      </w:r>
    </w:p>
    <w:p w14:paraId="7DA63BBE" w14:textId="77777777" w:rsidR="00FA44FC" w:rsidRPr="00E803FD" w:rsidRDefault="00FA44FC" w:rsidP="23666342">
      <w:pPr>
        <w:pStyle w:val="ListParagraph"/>
        <w:spacing w:after="160" w:line="259" w:lineRule="auto"/>
        <w:ind w:right="720"/>
      </w:pPr>
      <w:r>
        <w:t>Other potential harms and their severity;</w:t>
      </w:r>
    </w:p>
    <w:p w14:paraId="6D4EE620" w14:textId="77777777" w:rsidR="00FA44FC" w:rsidRPr="00E803FD" w:rsidRDefault="00FA44FC" w:rsidP="23666342">
      <w:pPr>
        <w:pStyle w:val="ListParagraph"/>
        <w:spacing w:after="160" w:line="259" w:lineRule="auto"/>
        <w:ind w:right="720"/>
      </w:pPr>
      <w:r>
        <w:t>Particularly vulnerabilities of the movant to harm (including age);</w:t>
      </w:r>
    </w:p>
    <w:p w14:paraId="06DF4E71" w14:textId="77777777" w:rsidR="00FA44FC" w:rsidRPr="00E803FD" w:rsidRDefault="00FA44FC" w:rsidP="23666342">
      <w:pPr>
        <w:pStyle w:val="ListParagraph"/>
        <w:spacing w:after="160" w:line="259" w:lineRule="auto"/>
        <w:ind w:right="720"/>
      </w:pPr>
      <w:r>
        <w:t>Whether the suit challenges the government or private parties;</w:t>
      </w:r>
    </w:p>
    <w:p w14:paraId="3FD0FF6C" w14:textId="6EC50A6B" w:rsidR="00FA44FC" w:rsidRPr="00E803FD" w:rsidRDefault="00FA44FC" w:rsidP="23666342">
      <w:pPr>
        <w:pStyle w:val="ListParagraph"/>
        <w:spacing w:after="160" w:line="259" w:lineRule="auto"/>
        <w:ind w:right="720"/>
      </w:pPr>
      <w:r>
        <w:t xml:space="preserve">Potential for prejudice to the opponent and whether the Court may take mitigating measures; </w:t>
      </w:r>
    </w:p>
    <w:p w14:paraId="4FE398D1" w14:textId="77777777" w:rsidR="00FA44FC" w:rsidRPr="00E803FD" w:rsidRDefault="00FA44FC" w:rsidP="23666342">
      <w:pPr>
        <w:pStyle w:val="ListParagraph"/>
        <w:spacing w:after="160" w:line="259" w:lineRule="auto"/>
        <w:ind w:right="720"/>
      </w:pPr>
      <w:r>
        <w:t>Whether the plaintiff’s identity has thus far been kept confidential;</w:t>
      </w:r>
    </w:p>
    <w:p w14:paraId="696A67CF" w14:textId="77777777" w:rsidR="00FA44FC" w:rsidRPr="00E803FD" w:rsidRDefault="00FA44FC" w:rsidP="23666342">
      <w:pPr>
        <w:pStyle w:val="ListParagraph"/>
        <w:spacing w:after="160" w:line="259" w:lineRule="auto"/>
        <w:ind w:right="720"/>
      </w:pPr>
      <w:r>
        <w:t>Whether the public’s interest in the litigation is furthered by disclosure;</w:t>
      </w:r>
    </w:p>
    <w:p w14:paraId="321D60E4" w14:textId="13569907" w:rsidR="00FA44FC" w:rsidRPr="00E803FD" w:rsidRDefault="00FA44FC" w:rsidP="23666342">
      <w:pPr>
        <w:pStyle w:val="ListParagraph"/>
        <w:spacing w:after="160" w:line="259" w:lineRule="auto"/>
        <w:ind w:right="720"/>
      </w:pPr>
      <w:r>
        <w:t>Whether because of the nature of the legal interests at stake there is an atypically weak public interest;</w:t>
      </w:r>
      <w:r w:rsidR="00817A66">
        <w:t xml:space="preserve"> and </w:t>
      </w:r>
    </w:p>
    <w:p w14:paraId="5DAD7FC5" w14:textId="77777777" w:rsidR="00577BB2" w:rsidRPr="00E803FD" w:rsidRDefault="00FA44FC" w:rsidP="23666342">
      <w:pPr>
        <w:pStyle w:val="ListParagraph"/>
        <w:spacing w:after="160" w:line="259" w:lineRule="auto"/>
        <w:ind w:right="720"/>
      </w:pPr>
      <w:r>
        <w:t xml:space="preserve">Whether there are alternative measures available to protect the plaintiff’s confidentiality interests. </w:t>
      </w:r>
    </w:p>
    <w:p w14:paraId="343FCAFB" w14:textId="51AC3A67" w:rsidR="00577BB2" w:rsidRPr="00E803FD" w:rsidRDefault="00263B7F" w:rsidP="0057525A">
      <w:pPr>
        <w:spacing w:after="160" w:line="259" w:lineRule="auto"/>
        <w:ind w:right="720" w:firstLine="0"/>
      </w:pPr>
      <w:r w:rsidRPr="0057525A">
        <w:rPr>
          <w:i/>
          <w:iCs/>
        </w:rPr>
        <w:t>See</w:t>
      </w:r>
      <w:r w:rsidRPr="00E803FD">
        <w:t xml:space="preserve"> </w:t>
      </w:r>
      <w:r w:rsidRPr="0057525A">
        <w:rPr>
          <w:i/>
        </w:rPr>
        <w:t>Sealed Plaintiff</w:t>
      </w:r>
      <w:r w:rsidR="00577BB2" w:rsidRPr="00E803FD">
        <w:t>, 537 F</w:t>
      </w:r>
      <w:r w:rsidR="00756A25">
        <w:t>.</w:t>
      </w:r>
      <w:r w:rsidR="00577BB2" w:rsidRPr="00E803FD">
        <w:t xml:space="preserve">3d </w:t>
      </w:r>
      <w:r w:rsidR="00756A25">
        <w:t xml:space="preserve">at </w:t>
      </w:r>
      <w:r w:rsidR="00577BB2" w:rsidRPr="00E803FD">
        <w:t xml:space="preserve">190. </w:t>
      </w:r>
    </w:p>
    <w:p w14:paraId="334A7A24" w14:textId="5A371774" w:rsidR="002705D2" w:rsidRPr="00E803FD" w:rsidRDefault="00FA44FC" w:rsidP="00FC73FB">
      <w:pPr>
        <w:rPr>
          <w:bdr w:val="none" w:sz="0" w:space="0" w:color="auto" w:frame="1"/>
          <w:shd w:val="clear" w:color="auto" w:fill="FFFFFF"/>
        </w:rPr>
      </w:pPr>
      <w:r w:rsidRPr="00E803FD">
        <w:rPr>
          <w:bdr w:val="none" w:sz="0" w:space="0" w:color="auto" w:frame="1"/>
        </w:rPr>
        <w:t>The district court “is not required to list each of the factors or use any particular formulation as long as .</w:t>
      </w:r>
      <w:r w:rsidR="00CD6F7C">
        <w:rPr>
          <w:bdr w:val="none" w:sz="0" w:space="0" w:color="auto" w:frame="1"/>
        </w:rPr>
        <w:t> </w:t>
      </w:r>
      <w:r w:rsidRPr="00E803FD">
        <w:rPr>
          <w:bdr w:val="none" w:sz="0" w:space="0" w:color="auto" w:frame="1"/>
        </w:rPr>
        <w:t>.</w:t>
      </w:r>
      <w:r w:rsidR="00CD6F7C">
        <w:rPr>
          <w:bdr w:val="none" w:sz="0" w:space="0" w:color="auto" w:frame="1"/>
        </w:rPr>
        <w:t> </w:t>
      </w:r>
      <w:r w:rsidRPr="00E803FD">
        <w:rPr>
          <w:bdr w:val="none" w:sz="0" w:space="0" w:color="auto" w:frame="1"/>
        </w:rPr>
        <w:t>. the court balance[s] the interests at stake in reaching its conclusion.</w:t>
      </w:r>
      <w:r w:rsidR="00D449B9">
        <w:rPr>
          <w:bdr w:val="none" w:sz="0" w:space="0" w:color="auto" w:frame="1"/>
        </w:rPr>
        <w:t>”</w:t>
      </w:r>
      <w:r w:rsidRPr="00E803FD">
        <w:rPr>
          <w:bdr w:val="none" w:sz="0" w:space="0" w:color="auto" w:frame="1"/>
        </w:rPr>
        <w:t> </w:t>
      </w:r>
      <w:r w:rsidRPr="23666342">
        <w:rPr>
          <w:i/>
          <w:iCs/>
          <w:bdr w:val="none" w:sz="0" w:space="0" w:color="auto" w:frame="1"/>
          <w:shd w:val="clear" w:color="auto" w:fill="FFFFFF"/>
        </w:rPr>
        <w:t>Doe v Barr</w:t>
      </w:r>
      <w:r w:rsidRPr="00E803FD">
        <w:rPr>
          <w:bdr w:val="none" w:sz="0" w:space="0" w:color="auto" w:frame="1"/>
          <w:shd w:val="clear" w:color="auto" w:fill="FFFFFF"/>
        </w:rPr>
        <w:t>, 479 F</w:t>
      </w:r>
      <w:r w:rsidR="00D449B9">
        <w:rPr>
          <w:bdr w:val="none" w:sz="0" w:space="0" w:color="auto" w:frame="1"/>
          <w:shd w:val="clear" w:color="auto" w:fill="FFFFFF"/>
        </w:rPr>
        <w:t>.</w:t>
      </w:r>
      <w:r w:rsidRPr="00E803FD">
        <w:rPr>
          <w:bdr w:val="none" w:sz="0" w:space="0" w:color="auto" w:frame="1"/>
          <w:shd w:val="clear" w:color="auto" w:fill="FFFFFF"/>
        </w:rPr>
        <w:t xml:space="preserve"> Supp</w:t>
      </w:r>
      <w:r w:rsidR="00D449B9">
        <w:rPr>
          <w:bdr w:val="none" w:sz="0" w:space="0" w:color="auto" w:frame="1"/>
          <w:shd w:val="clear" w:color="auto" w:fill="FFFFFF"/>
        </w:rPr>
        <w:t>.</w:t>
      </w:r>
      <w:r w:rsidRPr="00E803FD">
        <w:rPr>
          <w:bdr w:val="none" w:sz="0" w:space="0" w:color="auto" w:frame="1"/>
          <w:shd w:val="clear" w:color="auto" w:fill="FFFFFF"/>
        </w:rPr>
        <w:t xml:space="preserve"> 3d 20, 26 (S</w:t>
      </w:r>
      <w:r w:rsidR="00D449B9">
        <w:rPr>
          <w:bdr w:val="none" w:sz="0" w:space="0" w:color="auto" w:frame="1"/>
          <w:shd w:val="clear" w:color="auto" w:fill="FFFFFF"/>
        </w:rPr>
        <w:t>.</w:t>
      </w:r>
      <w:r w:rsidRPr="00E803FD">
        <w:rPr>
          <w:bdr w:val="none" w:sz="0" w:space="0" w:color="auto" w:frame="1"/>
          <w:shd w:val="clear" w:color="auto" w:fill="FFFFFF"/>
        </w:rPr>
        <w:t>D</w:t>
      </w:r>
      <w:r w:rsidR="00D449B9">
        <w:rPr>
          <w:bdr w:val="none" w:sz="0" w:space="0" w:color="auto" w:frame="1"/>
          <w:shd w:val="clear" w:color="auto" w:fill="FFFFFF"/>
        </w:rPr>
        <w:t>.</w:t>
      </w:r>
      <w:r w:rsidRPr="00E803FD">
        <w:rPr>
          <w:bdr w:val="none" w:sz="0" w:space="0" w:color="auto" w:frame="1"/>
          <w:shd w:val="clear" w:color="auto" w:fill="FFFFFF"/>
        </w:rPr>
        <w:t>N</w:t>
      </w:r>
      <w:r w:rsidR="00D449B9">
        <w:rPr>
          <w:bdr w:val="none" w:sz="0" w:space="0" w:color="auto" w:frame="1"/>
          <w:shd w:val="clear" w:color="auto" w:fill="FFFFFF"/>
        </w:rPr>
        <w:t>.</w:t>
      </w:r>
      <w:r w:rsidRPr="00E803FD">
        <w:rPr>
          <w:bdr w:val="none" w:sz="0" w:space="0" w:color="auto" w:frame="1"/>
          <w:shd w:val="clear" w:color="auto" w:fill="FFFFFF"/>
        </w:rPr>
        <w:t>Y</w:t>
      </w:r>
      <w:r w:rsidR="00D449B9">
        <w:rPr>
          <w:bdr w:val="none" w:sz="0" w:space="0" w:color="auto" w:frame="1"/>
          <w:shd w:val="clear" w:color="auto" w:fill="FFFFFF"/>
        </w:rPr>
        <w:t>.</w:t>
      </w:r>
      <w:r w:rsidRPr="00E803FD">
        <w:rPr>
          <w:bdr w:val="none" w:sz="0" w:space="0" w:color="auto" w:frame="1"/>
          <w:shd w:val="clear" w:color="auto" w:fill="FFFFFF"/>
        </w:rPr>
        <w:t xml:space="preserve"> 2020</w:t>
      </w:r>
      <w:r w:rsidRPr="00E803FD">
        <w:rPr>
          <w:rStyle w:val="CommentReference"/>
          <w:sz w:val="24"/>
          <w:szCs w:val="24"/>
        </w:rPr>
        <w:t xml:space="preserve">), </w:t>
      </w:r>
      <w:r w:rsidRPr="00D449B9">
        <w:rPr>
          <w:bdr w:val="none" w:sz="0" w:space="0" w:color="auto" w:frame="1"/>
          <w:shd w:val="clear" w:color="auto" w:fill="FFFFFF"/>
        </w:rPr>
        <w:t>citing</w:t>
      </w:r>
      <w:r w:rsidRPr="23666342">
        <w:rPr>
          <w:i/>
          <w:iCs/>
          <w:bdr w:val="none" w:sz="0" w:space="0" w:color="auto" w:frame="1"/>
          <w:shd w:val="clear" w:color="auto" w:fill="FFFFFF"/>
        </w:rPr>
        <w:t xml:space="preserve"> Sealed Plaintiff</w:t>
      </w:r>
      <w:r w:rsidRPr="00E803FD">
        <w:rPr>
          <w:bdr w:val="none" w:sz="0" w:space="0" w:color="auto" w:frame="1"/>
          <w:shd w:val="clear" w:color="auto" w:fill="FFFFFF"/>
        </w:rPr>
        <w:t xml:space="preserve">, 537 F.3d </w:t>
      </w:r>
      <w:r w:rsidRPr="00E803FD">
        <w:rPr>
          <w:bdr w:val="none" w:sz="0" w:space="0" w:color="auto" w:frame="1"/>
        </w:rPr>
        <w:t>at 191 n.4. </w:t>
      </w:r>
      <w:r w:rsidR="002705D2" w:rsidRPr="00E803FD">
        <w:rPr>
          <w:bdr w:val="none" w:sz="0" w:space="0" w:color="auto" w:frame="1"/>
          <w:shd w:val="clear" w:color="auto" w:fill="FFFFFF"/>
        </w:rPr>
        <w:t>The first four factors pertaining to petitioner’s privacy and safety interests are met</w:t>
      </w:r>
      <w:r w:rsidR="00FC73FB">
        <w:rPr>
          <w:bdr w:val="none" w:sz="0" w:space="0" w:color="auto" w:frame="1"/>
          <w:shd w:val="clear" w:color="auto" w:fill="FFFFFF"/>
        </w:rPr>
        <w:t>.</w:t>
      </w:r>
    </w:p>
    <w:p w14:paraId="4628DBFB" w14:textId="3E16AD19" w:rsidR="002705D2" w:rsidRPr="00E803FD" w:rsidRDefault="002705D2" w:rsidP="00E803FD">
      <w:pPr>
        <w:shd w:val="clear" w:color="auto" w:fill="FFFFFF"/>
        <w:textAlignment w:val="baseline"/>
        <w:rPr>
          <w:rFonts w:ascii="Helvetica" w:hAnsi="Helvetica"/>
          <w:sz w:val="21"/>
        </w:rPr>
      </w:pPr>
      <w:r w:rsidRPr="00E803FD">
        <w:rPr>
          <w:bdr w:val="none" w:sz="0" w:space="0" w:color="auto" w:frame="1"/>
        </w:rPr>
        <w:t xml:space="preserve">In habeas corpus cases in the immigration detention context, </w:t>
      </w:r>
      <w:r w:rsidR="005B3603">
        <w:rPr>
          <w:bdr w:val="none" w:sz="0" w:space="0" w:color="auto" w:frame="1"/>
        </w:rPr>
        <w:t>c</w:t>
      </w:r>
      <w:r w:rsidRPr="00E803FD">
        <w:rPr>
          <w:bdr w:val="none" w:sz="0" w:space="0" w:color="auto" w:frame="1"/>
        </w:rPr>
        <w:t>ourts have granted petitione</w:t>
      </w:r>
      <w:r w:rsidR="004031E0">
        <w:rPr>
          <w:bdr w:val="none" w:sz="0" w:space="0" w:color="auto" w:frame="1"/>
        </w:rPr>
        <w:t>rs’</w:t>
      </w:r>
      <w:r w:rsidRPr="00E803FD">
        <w:rPr>
          <w:bdr w:val="none" w:sz="0" w:space="0" w:color="auto" w:frame="1"/>
        </w:rPr>
        <w:t xml:space="preserve"> motion</w:t>
      </w:r>
      <w:r w:rsidR="004031E0">
        <w:rPr>
          <w:bdr w:val="none" w:sz="0" w:space="0" w:color="auto" w:frame="1"/>
        </w:rPr>
        <w:t>s</w:t>
      </w:r>
      <w:r w:rsidRPr="00E803FD">
        <w:rPr>
          <w:bdr w:val="none" w:sz="0" w:space="0" w:color="auto" w:frame="1"/>
        </w:rPr>
        <w:t xml:space="preserve"> to proceed by pseudonym</w:t>
      </w:r>
      <w:r w:rsidR="003F57E6">
        <w:rPr>
          <w:bdr w:val="none" w:sz="0" w:space="0" w:color="auto" w:frame="1"/>
        </w:rPr>
        <w:t xml:space="preserve"> d</w:t>
      </w:r>
      <w:r w:rsidRPr="00E803FD">
        <w:rPr>
          <w:bdr w:val="none" w:sz="0" w:space="0" w:color="auto" w:frame="1"/>
        </w:rPr>
        <w:t xml:space="preserve">ue </w:t>
      </w:r>
      <w:r w:rsidR="00676377" w:rsidRPr="00E803FD">
        <w:rPr>
          <w:bdr w:val="none" w:sz="0" w:space="0" w:color="auto" w:frame="1"/>
        </w:rPr>
        <w:t>to the</w:t>
      </w:r>
      <w:r w:rsidRPr="00E803FD">
        <w:rPr>
          <w:bdr w:val="none" w:sz="0" w:space="0" w:color="auto" w:frame="1"/>
        </w:rPr>
        <w:t xml:space="preserve"> privacy and safety interests at stake, and in light of the absence of significant countervailing factors. </w:t>
      </w:r>
      <w:r w:rsidRPr="00E803FD">
        <w:rPr>
          <w:i/>
          <w:bdr w:val="none" w:sz="0" w:space="0" w:color="auto" w:frame="1"/>
        </w:rPr>
        <w:t xml:space="preserve">See </w:t>
      </w:r>
      <w:r w:rsidRPr="00E803FD">
        <w:rPr>
          <w:i/>
          <w:bdr w:val="none" w:sz="0" w:space="0" w:color="auto" w:frame="1"/>
          <w:shd w:val="clear" w:color="auto" w:fill="FFFFFF"/>
        </w:rPr>
        <w:t>K.U. v</w:t>
      </w:r>
      <w:r w:rsidR="00744E34">
        <w:rPr>
          <w:i/>
          <w:bdr w:val="none" w:sz="0" w:space="0" w:color="auto" w:frame="1"/>
          <w:shd w:val="clear" w:color="auto" w:fill="FFFFFF"/>
        </w:rPr>
        <w:t>.</w:t>
      </w:r>
      <w:r w:rsidRPr="00E803FD">
        <w:rPr>
          <w:i/>
          <w:bdr w:val="none" w:sz="0" w:space="0" w:color="auto" w:frame="1"/>
          <w:shd w:val="clear" w:color="auto" w:fill="FFFFFF"/>
        </w:rPr>
        <w:t xml:space="preserve"> Freden</w:t>
      </w:r>
      <w:r w:rsidRPr="00E803FD">
        <w:rPr>
          <w:bdr w:val="none" w:sz="0" w:space="0" w:color="auto" w:frame="1"/>
          <w:shd w:val="clear" w:color="auto" w:fill="FFFFFF"/>
        </w:rPr>
        <w:t xml:space="preserve">, </w:t>
      </w:r>
      <w:r w:rsidR="00744E34" w:rsidRPr="00E803FD">
        <w:rPr>
          <w:bdr w:val="none" w:sz="0" w:space="0" w:color="auto" w:frame="1"/>
          <w:shd w:val="clear" w:color="auto" w:fill="FFFFFF"/>
        </w:rPr>
        <w:t>No. 25-CV-361-LJV</w:t>
      </w:r>
      <w:r w:rsidR="00744E34">
        <w:rPr>
          <w:bdr w:val="none" w:sz="0" w:space="0" w:color="auto" w:frame="1"/>
          <w:shd w:val="clear" w:color="auto" w:fill="FFFFFF"/>
        </w:rPr>
        <w:t xml:space="preserve">, </w:t>
      </w:r>
      <w:r w:rsidR="00744E34" w:rsidRPr="00744E34">
        <w:rPr>
          <w:bdr w:val="none" w:sz="0" w:space="0" w:color="auto" w:frame="1"/>
          <w:shd w:val="clear" w:color="auto" w:fill="FFFFFF"/>
        </w:rPr>
        <w:t>2025 WL 1473974</w:t>
      </w:r>
      <w:r w:rsidRPr="00E803FD">
        <w:rPr>
          <w:bdr w:val="none" w:sz="0" w:space="0" w:color="auto" w:frame="1"/>
          <w:shd w:val="clear" w:color="auto" w:fill="FFFFFF"/>
        </w:rPr>
        <w:t>, at *</w:t>
      </w:r>
      <w:r w:rsidR="00115C0E">
        <w:rPr>
          <w:bdr w:val="none" w:sz="0" w:space="0" w:color="auto" w:frame="1"/>
          <w:shd w:val="clear" w:color="auto" w:fill="FFFFFF"/>
        </w:rPr>
        <w:t>4</w:t>
      </w:r>
      <w:r w:rsidR="00744E34">
        <w:rPr>
          <w:bdr w:val="none" w:sz="0" w:space="0" w:color="auto" w:frame="1"/>
          <w:shd w:val="clear" w:color="auto" w:fill="FFFFFF"/>
        </w:rPr>
        <w:t>–</w:t>
      </w:r>
      <w:r w:rsidR="00115C0E">
        <w:rPr>
          <w:bdr w:val="none" w:sz="0" w:space="0" w:color="auto" w:frame="1"/>
          <w:shd w:val="clear" w:color="auto" w:fill="FFFFFF"/>
        </w:rPr>
        <w:t>5</w:t>
      </w:r>
      <w:r w:rsidRPr="00E803FD">
        <w:rPr>
          <w:bdr w:val="none" w:sz="0" w:space="0" w:color="auto" w:frame="1"/>
          <w:shd w:val="clear" w:color="auto" w:fill="FFFFFF"/>
        </w:rPr>
        <w:t xml:space="preserve"> (W</w:t>
      </w:r>
      <w:r w:rsidR="00744E34">
        <w:rPr>
          <w:bdr w:val="none" w:sz="0" w:space="0" w:color="auto" w:frame="1"/>
          <w:shd w:val="clear" w:color="auto" w:fill="FFFFFF"/>
        </w:rPr>
        <w:t>.</w:t>
      </w:r>
      <w:r w:rsidRPr="00E803FD">
        <w:rPr>
          <w:bdr w:val="none" w:sz="0" w:space="0" w:color="auto" w:frame="1"/>
          <w:shd w:val="clear" w:color="auto" w:fill="FFFFFF"/>
        </w:rPr>
        <w:t>D</w:t>
      </w:r>
      <w:r w:rsidR="00744E34">
        <w:rPr>
          <w:bdr w:val="none" w:sz="0" w:space="0" w:color="auto" w:frame="1"/>
          <w:shd w:val="clear" w:color="auto" w:fill="FFFFFF"/>
        </w:rPr>
        <w:t>.</w:t>
      </w:r>
      <w:r w:rsidRPr="00E803FD">
        <w:rPr>
          <w:bdr w:val="none" w:sz="0" w:space="0" w:color="auto" w:frame="1"/>
          <w:shd w:val="clear" w:color="auto" w:fill="FFFFFF"/>
        </w:rPr>
        <w:t>N</w:t>
      </w:r>
      <w:r w:rsidR="00744E34">
        <w:rPr>
          <w:bdr w:val="none" w:sz="0" w:space="0" w:color="auto" w:frame="1"/>
          <w:shd w:val="clear" w:color="auto" w:fill="FFFFFF"/>
        </w:rPr>
        <w:t>.</w:t>
      </w:r>
      <w:r w:rsidRPr="00E803FD">
        <w:rPr>
          <w:bdr w:val="none" w:sz="0" w:space="0" w:color="auto" w:frame="1"/>
          <w:shd w:val="clear" w:color="auto" w:fill="FFFFFF"/>
        </w:rPr>
        <w:t>Y</w:t>
      </w:r>
      <w:r w:rsidR="00744E34">
        <w:rPr>
          <w:bdr w:val="none" w:sz="0" w:space="0" w:color="auto" w:frame="1"/>
          <w:shd w:val="clear" w:color="auto" w:fill="FFFFFF"/>
        </w:rPr>
        <w:t>.</w:t>
      </w:r>
      <w:r w:rsidRPr="00E803FD">
        <w:rPr>
          <w:bdr w:val="none" w:sz="0" w:space="0" w:color="auto" w:frame="1"/>
          <w:shd w:val="clear" w:color="auto" w:fill="FFFFFF"/>
        </w:rPr>
        <w:t xml:space="preserve"> May 21, 2025); </w:t>
      </w:r>
      <w:r w:rsidRPr="00E803FD">
        <w:rPr>
          <w:i/>
          <w:bdr w:val="none" w:sz="0" w:space="0" w:color="auto" w:frame="1"/>
          <w:shd w:val="clear" w:color="auto" w:fill="FFFFFF"/>
        </w:rPr>
        <w:t>J.M.H. v</w:t>
      </w:r>
      <w:r w:rsidR="00744E34">
        <w:rPr>
          <w:i/>
          <w:bdr w:val="none" w:sz="0" w:space="0" w:color="auto" w:frame="1"/>
          <w:shd w:val="clear" w:color="auto" w:fill="FFFFFF"/>
        </w:rPr>
        <w:t>.</w:t>
      </w:r>
      <w:r w:rsidRPr="00E803FD">
        <w:rPr>
          <w:i/>
          <w:bdr w:val="none" w:sz="0" w:space="0" w:color="auto" w:frame="1"/>
          <w:shd w:val="clear" w:color="auto" w:fill="FFFFFF"/>
        </w:rPr>
        <w:t xml:space="preserve"> Freden</w:t>
      </w:r>
      <w:r w:rsidRPr="00E803FD">
        <w:rPr>
          <w:bdr w:val="none" w:sz="0" w:space="0" w:color="auto" w:frame="1"/>
          <w:shd w:val="clear" w:color="auto" w:fill="FFFFFF"/>
        </w:rPr>
        <w:t xml:space="preserve">, </w:t>
      </w:r>
      <w:r w:rsidR="00744E34" w:rsidRPr="00E803FD">
        <w:rPr>
          <w:bdr w:val="none" w:sz="0" w:space="0" w:color="auto" w:frame="1"/>
          <w:shd w:val="clear" w:color="auto" w:fill="FFFFFF"/>
        </w:rPr>
        <w:t>No. 24-CV-875-LJV</w:t>
      </w:r>
      <w:r w:rsidR="00744E34">
        <w:rPr>
          <w:bdr w:val="none" w:sz="0" w:space="0" w:color="auto" w:frame="1"/>
          <w:shd w:val="clear" w:color="auto" w:fill="FFFFFF"/>
        </w:rPr>
        <w:t xml:space="preserve">, </w:t>
      </w:r>
      <w:r w:rsidR="002110D4" w:rsidRPr="002110D4">
        <w:rPr>
          <w:bdr w:val="none" w:sz="0" w:space="0" w:color="auto" w:frame="1"/>
          <w:shd w:val="clear" w:color="auto" w:fill="FFFFFF"/>
        </w:rPr>
        <w:t>2025 WL 81919</w:t>
      </w:r>
      <w:r w:rsidRPr="00E803FD">
        <w:rPr>
          <w:bdr w:val="none" w:sz="0" w:space="0" w:color="auto" w:frame="1"/>
          <w:shd w:val="clear" w:color="auto" w:fill="FFFFFF"/>
        </w:rPr>
        <w:t>, at *</w:t>
      </w:r>
      <w:r w:rsidR="00AA0CEE">
        <w:rPr>
          <w:bdr w:val="none" w:sz="0" w:space="0" w:color="auto" w:frame="1"/>
          <w:shd w:val="clear" w:color="auto" w:fill="FFFFFF"/>
        </w:rPr>
        <w:t>2–5</w:t>
      </w:r>
      <w:r w:rsidRPr="00E803FD">
        <w:rPr>
          <w:bdr w:val="none" w:sz="0" w:space="0" w:color="auto" w:frame="1"/>
          <w:shd w:val="clear" w:color="auto" w:fill="FFFFFF"/>
        </w:rPr>
        <w:t xml:space="preserve"> (W</w:t>
      </w:r>
      <w:r w:rsidR="00744E34">
        <w:rPr>
          <w:bdr w:val="none" w:sz="0" w:space="0" w:color="auto" w:frame="1"/>
          <w:shd w:val="clear" w:color="auto" w:fill="FFFFFF"/>
        </w:rPr>
        <w:t>.</w:t>
      </w:r>
      <w:r w:rsidRPr="00E803FD">
        <w:rPr>
          <w:bdr w:val="none" w:sz="0" w:space="0" w:color="auto" w:frame="1"/>
          <w:shd w:val="clear" w:color="auto" w:fill="FFFFFF"/>
        </w:rPr>
        <w:t>D</w:t>
      </w:r>
      <w:r w:rsidR="00744E34">
        <w:rPr>
          <w:bdr w:val="none" w:sz="0" w:space="0" w:color="auto" w:frame="1"/>
          <w:shd w:val="clear" w:color="auto" w:fill="FFFFFF"/>
        </w:rPr>
        <w:t>.</w:t>
      </w:r>
      <w:r w:rsidRPr="00E803FD">
        <w:rPr>
          <w:bdr w:val="none" w:sz="0" w:space="0" w:color="auto" w:frame="1"/>
          <w:shd w:val="clear" w:color="auto" w:fill="FFFFFF"/>
        </w:rPr>
        <w:t>N</w:t>
      </w:r>
      <w:r w:rsidR="00744E34">
        <w:rPr>
          <w:bdr w:val="none" w:sz="0" w:space="0" w:color="auto" w:frame="1"/>
          <w:shd w:val="clear" w:color="auto" w:fill="FFFFFF"/>
        </w:rPr>
        <w:t>.</w:t>
      </w:r>
      <w:r w:rsidRPr="00E803FD">
        <w:rPr>
          <w:bdr w:val="none" w:sz="0" w:space="0" w:color="auto" w:frame="1"/>
          <w:shd w:val="clear" w:color="auto" w:fill="FFFFFF"/>
        </w:rPr>
        <w:t>Y</w:t>
      </w:r>
      <w:r w:rsidR="00744E34">
        <w:rPr>
          <w:bdr w:val="none" w:sz="0" w:space="0" w:color="auto" w:frame="1"/>
          <w:shd w:val="clear" w:color="auto" w:fill="FFFFFF"/>
        </w:rPr>
        <w:t>.</w:t>
      </w:r>
      <w:r w:rsidRPr="00E803FD">
        <w:rPr>
          <w:bdr w:val="none" w:sz="0" w:space="0" w:color="auto" w:frame="1"/>
          <w:shd w:val="clear" w:color="auto" w:fill="FFFFFF"/>
        </w:rPr>
        <w:t xml:space="preserve"> Jan. 13, 2025</w:t>
      </w:r>
      <w:r w:rsidR="00212031">
        <w:rPr>
          <w:bdr w:val="none" w:sz="0" w:space="0" w:color="auto" w:frame="1"/>
          <w:shd w:val="clear" w:color="auto" w:fill="FFFFFF"/>
        </w:rPr>
        <w:t>)</w:t>
      </w:r>
      <w:r w:rsidRPr="00E803FD">
        <w:rPr>
          <w:bdr w:val="none" w:sz="0" w:space="0" w:color="auto" w:frame="1"/>
          <w:shd w:val="clear" w:color="auto" w:fill="FFFFFF"/>
        </w:rPr>
        <w:t xml:space="preserve">; </w:t>
      </w:r>
      <w:r w:rsidR="009F0A69">
        <w:rPr>
          <w:i/>
          <w:bdr w:val="none" w:sz="0" w:space="0" w:color="auto" w:frame="1"/>
          <w:shd w:val="clear" w:color="auto" w:fill="FFFFFF"/>
        </w:rPr>
        <w:t>M.A.</w:t>
      </w:r>
      <w:r w:rsidRPr="00E803FD">
        <w:rPr>
          <w:i/>
          <w:bdr w:val="none" w:sz="0" w:space="0" w:color="auto" w:frame="1"/>
          <w:shd w:val="clear" w:color="auto" w:fill="FFFFFF"/>
        </w:rPr>
        <w:t xml:space="preserve"> v</w:t>
      </w:r>
      <w:r w:rsidR="00FC73FB">
        <w:rPr>
          <w:i/>
          <w:bdr w:val="none" w:sz="0" w:space="0" w:color="auto" w:frame="1"/>
          <w:shd w:val="clear" w:color="auto" w:fill="FFFFFF"/>
        </w:rPr>
        <w:t>.</w:t>
      </w:r>
      <w:r w:rsidRPr="00E803FD">
        <w:rPr>
          <w:i/>
          <w:bdr w:val="none" w:sz="0" w:space="0" w:color="auto" w:frame="1"/>
          <w:shd w:val="clear" w:color="auto" w:fill="FFFFFF"/>
        </w:rPr>
        <w:t xml:space="preserve"> United States Citizen</w:t>
      </w:r>
      <w:r w:rsidRPr="00E803FD">
        <w:rPr>
          <w:bdr w:val="none" w:sz="0" w:space="0" w:color="auto" w:frame="1"/>
          <w:shd w:val="clear" w:color="auto" w:fill="FFFFFF"/>
        </w:rPr>
        <w:t xml:space="preserve">, </w:t>
      </w:r>
      <w:r w:rsidR="00992327">
        <w:rPr>
          <w:bdr w:val="none" w:sz="0" w:space="0" w:color="auto" w:frame="1"/>
          <w:shd w:val="clear" w:color="auto" w:fill="FFFFFF"/>
        </w:rPr>
        <w:t xml:space="preserve">No. </w:t>
      </w:r>
      <w:r w:rsidR="00E9066E" w:rsidRPr="00E9066E">
        <w:rPr>
          <w:bdr w:val="none" w:sz="0" w:space="0" w:color="auto" w:frame="1"/>
          <w:shd w:val="clear" w:color="auto" w:fill="FFFFFF"/>
        </w:rPr>
        <w:t>23 Civ. 4530 (LGS)</w:t>
      </w:r>
      <w:r w:rsidR="00E9066E">
        <w:rPr>
          <w:bdr w:val="none" w:sz="0" w:space="0" w:color="auto" w:frame="1"/>
          <w:shd w:val="clear" w:color="auto" w:fill="FFFFFF"/>
        </w:rPr>
        <w:t xml:space="preserve">, </w:t>
      </w:r>
      <w:r w:rsidRPr="00E803FD">
        <w:rPr>
          <w:bdr w:val="none" w:sz="0" w:space="0" w:color="auto" w:frame="1"/>
          <w:shd w:val="clear" w:color="auto" w:fill="FFFFFF"/>
        </w:rPr>
        <w:t xml:space="preserve">2023 US </w:t>
      </w:r>
      <w:proofErr w:type="spellStart"/>
      <w:r w:rsidRPr="00E803FD">
        <w:rPr>
          <w:bdr w:val="none" w:sz="0" w:space="0" w:color="auto" w:frame="1"/>
          <w:shd w:val="clear" w:color="auto" w:fill="FFFFFF"/>
        </w:rPr>
        <w:t>Dist</w:t>
      </w:r>
      <w:proofErr w:type="spellEnd"/>
      <w:r w:rsidRPr="00E803FD">
        <w:rPr>
          <w:bdr w:val="none" w:sz="0" w:space="0" w:color="auto" w:frame="1"/>
          <w:shd w:val="clear" w:color="auto" w:fill="FFFFFF"/>
        </w:rPr>
        <w:t xml:space="preserve"> LEXIS 123694, at *3</w:t>
      </w:r>
      <w:r w:rsidR="002A735B">
        <w:rPr>
          <w:bdr w:val="none" w:sz="0" w:space="0" w:color="auto" w:frame="1"/>
          <w:shd w:val="clear" w:color="auto" w:fill="FFFFFF"/>
        </w:rPr>
        <w:t>–</w:t>
      </w:r>
      <w:r w:rsidRPr="00E803FD">
        <w:rPr>
          <w:bdr w:val="none" w:sz="0" w:space="0" w:color="auto" w:frame="1"/>
          <w:shd w:val="clear" w:color="auto" w:fill="FFFFFF"/>
        </w:rPr>
        <w:t>4 (S</w:t>
      </w:r>
      <w:r w:rsidR="009F0A69">
        <w:rPr>
          <w:bdr w:val="none" w:sz="0" w:space="0" w:color="auto" w:frame="1"/>
          <w:shd w:val="clear" w:color="auto" w:fill="FFFFFF"/>
        </w:rPr>
        <w:t>.</w:t>
      </w:r>
      <w:r w:rsidRPr="00E803FD">
        <w:rPr>
          <w:bdr w:val="none" w:sz="0" w:space="0" w:color="auto" w:frame="1"/>
          <w:shd w:val="clear" w:color="auto" w:fill="FFFFFF"/>
        </w:rPr>
        <w:t>D</w:t>
      </w:r>
      <w:r w:rsidR="009F0A69">
        <w:rPr>
          <w:bdr w:val="none" w:sz="0" w:space="0" w:color="auto" w:frame="1"/>
          <w:shd w:val="clear" w:color="auto" w:fill="FFFFFF"/>
        </w:rPr>
        <w:t>.</w:t>
      </w:r>
      <w:r w:rsidRPr="00E803FD">
        <w:rPr>
          <w:bdr w:val="none" w:sz="0" w:space="0" w:color="auto" w:frame="1"/>
          <w:shd w:val="clear" w:color="auto" w:fill="FFFFFF"/>
        </w:rPr>
        <w:t>N</w:t>
      </w:r>
      <w:r w:rsidR="009F0A69">
        <w:rPr>
          <w:bdr w:val="none" w:sz="0" w:space="0" w:color="auto" w:frame="1"/>
          <w:shd w:val="clear" w:color="auto" w:fill="FFFFFF"/>
        </w:rPr>
        <w:t>.</w:t>
      </w:r>
      <w:r w:rsidRPr="00E803FD">
        <w:rPr>
          <w:bdr w:val="none" w:sz="0" w:space="0" w:color="auto" w:frame="1"/>
          <w:shd w:val="clear" w:color="auto" w:fill="FFFFFF"/>
        </w:rPr>
        <w:t>Y</w:t>
      </w:r>
      <w:r w:rsidR="009F0A69">
        <w:rPr>
          <w:bdr w:val="none" w:sz="0" w:space="0" w:color="auto" w:frame="1"/>
          <w:shd w:val="clear" w:color="auto" w:fill="FFFFFF"/>
        </w:rPr>
        <w:t>.</w:t>
      </w:r>
      <w:r w:rsidRPr="00E803FD">
        <w:rPr>
          <w:bdr w:val="none" w:sz="0" w:space="0" w:color="auto" w:frame="1"/>
          <w:shd w:val="clear" w:color="auto" w:fill="FFFFFF"/>
        </w:rPr>
        <w:t xml:space="preserve"> July 18, 2023)</w:t>
      </w:r>
      <w:r w:rsidR="00E803FD">
        <w:rPr>
          <w:bdr w:val="none" w:sz="0" w:space="0" w:color="auto" w:frame="1"/>
          <w:shd w:val="clear" w:color="auto" w:fill="FFFFFF"/>
        </w:rPr>
        <w:t xml:space="preserve"> </w:t>
      </w:r>
      <w:r w:rsidR="00E803FD" w:rsidRPr="00E803FD">
        <w:rPr>
          <w:rFonts w:ascii="Helvetica" w:hAnsi="Helvetica"/>
          <w:sz w:val="21"/>
          <w:bdr w:val="none" w:sz="0" w:space="0" w:color="auto" w:frame="1"/>
          <w:shd w:val="clear" w:color="auto" w:fill="FFFFFF"/>
        </w:rPr>
        <w:t>(</w:t>
      </w:r>
      <w:r w:rsidR="00E803FD" w:rsidRPr="00FC73FB">
        <w:t>noting “the difficulty victims face in coming forward with their stories and seeking justice”)</w:t>
      </w:r>
      <w:r w:rsidR="00FC73FB">
        <w:t>.</w:t>
      </w:r>
      <w:r w:rsidR="00E803FD" w:rsidRPr="00E803FD">
        <w:rPr>
          <w:rFonts w:ascii="Helvetica" w:hAnsi="Helvetica"/>
          <w:sz w:val="21"/>
          <w:bdr w:val="none" w:sz="0" w:space="0" w:color="auto" w:frame="1"/>
          <w:shd w:val="clear" w:color="auto" w:fill="FFFFFF"/>
        </w:rPr>
        <w:t xml:space="preserve"> </w:t>
      </w:r>
    </w:p>
    <w:p w14:paraId="4B97F063" w14:textId="38B8E287" w:rsidR="00FA44FC" w:rsidRPr="00E803FD" w:rsidRDefault="002705D2" w:rsidP="002705D2">
      <w:pPr>
        <w:shd w:val="clear" w:color="auto" w:fill="FFFFFF"/>
        <w:textAlignment w:val="baseline"/>
        <w:rPr>
          <w:bdr w:val="none" w:sz="0" w:space="0" w:color="auto" w:frame="1"/>
          <w:shd w:val="clear" w:color="auto" w:fill="FFFFFF"/>
        </w:rPr>
      </w:pPr>
      <w:r w:rsidRPr="00E803FD">
        <w:rPr>
          <w:bdr w:val="none" w:sz="0" w:space="0" w:color="auto" w:frame="1"/>
          <w:shd w:val="clear" w:color="auto" w:fill="FFFFFF"/>
        </w:rPr>
        <w:t xml:space="preserve">The first four factors pertaining to the petitioner’s privacy and safety interests are met in the within case. </w:t>
      </w:r>
      <w:r w:rsidR="003F57E6">
        <w:rPr>
          <w:bdr w:val="none" w:sz="0" w:space="0" w:color="auto" w:frame="1"/>
          <w:shd w:val="clear" w:color="auto" w:fill="FFFFFF"/>
        </w:rPr>
        <w:t>[</w:t>
      </w:r>
      <w:r w:rsidRPr="00E9066E">
        <w:rPr>
          <w:highlight w:val="yellow"/>
          <w:bdr w:val="none" w:sz="0" w:space="0" w:color="auto" w:frame="1"/>
          <w:shd w:val="clear" w:color="auto" w:fill="FFFFFF"/>
        </w:rPr>
        <w:t>Apply law to facts</w:t>
      </w:r>
      <w:r w:rsidR="003F57E6">
        <w:rPr>
          <w:bdr w:val="none" w:sz="0" w:space="0" w:color="auto" w:frame="1"/>
          <w:shd w:val="clear" w:color="auto" w:fill="FFFFFF"/>
        </w:rPr>
        <w:t>]</w:t>
      </w:r>
      <w:r w:rsidRPr="00E803FD">
        <w:rPr>
          <w:bdr w:val="none" w:sz="0" w:space="0" w:color="auto" w:frame="1"/>
          <w:shd w:val="clear" w:color="auto" w:fill="FFFFFF"/>
        </w:rPr>
        <w:t xml:space="preserve">. </w:t>
      </w:r>
    </w:p>
    <w:p w14:paraId="43C3D334" w14:textId="268DD1C2" w:rsidR="00676377" w:rsidRPr="00FC73FB" w:rsidRDefault="00676377" w:rsidP="00FC73FB">
      <w:pPr>
        <w:pStyle w:val="Heading3"/>
        <w:numPr>
          <w:ilvl w:val="0"/>
          <w:numId w:val="10"/>
        </w:numPr>
        <w:rPr>
          <w:rFonts w:cs="Times New Roman"/>
          <w:bdr w:val="none" w:sz="0" w:space="0" w:color="auto" w:frame="1"/>
          <w:shd w:val="clear" w:color="auto" w:fill="FFFFFF"/>
        </w:rPr>
      </w:pPr>
      <w:r w:rsidRPr="00E803FD">
        <w:rPr>
          <w:rFonts w:cs="Times New Roman"/>
          <w:bdr w:val="none" w:sz="0" w:space="0" w:color="auto" w:frame="1"/>
          <w:shd w:val="clear" w:color="auto" w:fill="FFFFFF"/>
        </w:rPr>
        <w:lastRenderedPageBreak/>
        <w:t xml:space="preserve">Respondents </w:t>
      </w:r>
      <w:r w:rsidR="00991C61" w:rsidRPr="00E803FD">
        <w:rPr>
          <w:rFonts w:cs="Times New Roman"/>
          <w:bdr w:val="none" w:sz="0" w:space="0" w:color="auto" w:frame="1"/>
          <w:shd w:val="clear" w:color="auto" w:fill="FFFFFF"/>
        </w:rPr>
        <w:t xml:space="preserve">Would Not Be Prejudiced </w:t>
      </w:r>
      <w:r w:rsidR="00991C61">
        <w:rPr>
          <w:rFonts w:cs="Times New Roman"/>
          <w:bdr w:val="none" w:sz="0" w:space="0" w:color="auto" w:frame="1"/>
          <w:shd w:val="clear" w:color="auto" w:fill="FFFFFF"/>
        </w:rPr>
        <w:t>b</w:t>
      </w:r>
      <w:r w:rsidR="00991C61" w:rsidRPr="00E803FD">
        <w:rPr>
          <w:rFonts w:cs="Times New Roman"/>
          <w:bdr w:val="none" w:sz="0" w:space="0" w:color="auto" w:frame="1"/>
          <w:shd w:val="clear" w:color="auto" w:fill="FFFFFF"/>
        </w:rPr>
        <w:t xml:space="preserve">y </w:t>
      </w:r>
      <w:r w:rsidRPr="00E803FD">
        <w:rPr>
          <w:rFonts w:cs="Times New Roman"/>
          <w:bdr w:val="none" w:sz="0" w:space="0" w:color="auto" w:frame="1"/>
          <w:shd w:val="clear" w:color="auto" w:fill="FFFFFF"/>
        </w:rPr>
        <w:t xml:space="preserve">Petitioner </w:t>
      </w:r>
      <w:r w:rsidR="00991C61" w:rsidRPr="00E803FD">
        <w:rPr>
          <w:rFonts w:cs="Times New Roman"/>
          <w:bdr w:val="none" w:sz="0" w:space="0" w:color="auto" w:frame="1"/>
          <w:shd w:val="clear" w:color="auto" w:fill="FFFFFF"/>
        </w:rPr>
        <w:t xml:space="preserve">Proceeding </w:t>
      </w:r>
      <w:r w:rsidR="00991C61">
        <w:rPr>
          <w:rFonts w:cs="Times New Roman"/>
          <w:bdr w:val="none" w:sz="0" w:space="0" w:color="auto" w:frame="1"/>
          <w:shd w:val="clear" w:color="auto" w:fill="FFFFFF"/>
        </w:rPr>
        <w:t>b</w:t>
      </w:r>
      <w:r w:rsidR="00991C61" w:rsidRPr="00E803FD">
        <w:rPr>
          <w:rFonts w:cs="Times New Roman"/>
          <w:bdr w:val="none" w:sz="0" w:space="0" w:color="auto" w:frame="1"/>
          <w:shd w:val="clear" w:color="auto" w:fill="FFFFFF"/>
        </w:rPr>
        <w:t>y Initials On</w:t>
      </w:r>
      <w:r w:rsidRPr="00E803FD">
        <w:rPr>
          <w:rFonts w:cs="Times New Roman"/>
          <w:bdr w:val="none" w:sz="0" w:space="0" w:color="auto" w:frame="1"/>
          <w:shd w:val="clear" w:color="auto" w:fill="FFFFFF"/>
        </w:rPr>
        <w:t>ly</w:t>
      </w:r>
    </w:p>
    <w:p w14:paraId="1108B1B2" w14:textId="7D93BF2E" w:rsidR="00676377" w:rsidRPr="00E803FD" w:rsidRDefault="00676377" w:rsidP="23666342">
      <w:pPr>
        <w:pStyle w:val="ListParagraph"/>
        <w:numPr>
          <w:ilvl w:val="0"/>
          <w:numId w:val="0"/>
        </w:numPr>
        <w:shd w:val="clear" w:color="auto" w:fill="FFFFFF" w:themeFill="background1"/>
        <w:ind w:firstLine="720"/>
        <w:textAlignment w:val="baseline"/>
        <w:rPr>
          <w:bdr w:val="none" w:sz="0" w:space="0" w:color="auto" w:frame="1"/>
          <w:shd w:val="clear" w:color="auto" w:fill="FFFFFF"/>
        </w:rPr>
      </w:pPr>
      <w:r w:rsidRPr="00E803FD">
        <w:rPr>
          <w:bdr w:val="none" w:sz="0" w:space="0" w:color="auto" w:frame="1"/>
          <w:shd w:val="clear" w:color="auto" w:fill="FFFFFF"/>
        </w:rPr>
        <w:t xml:space="preserve">The </w:t>
      </w:r>
      <w:r w:rsidR="00F7095A" w:rsidRPr="00E803FD">
        <w:rPr>
          <w:bdr w:val="none" w:sz="0" w:space="0" w:color="auto" w:frame="1"/>
          <w:shd w:val="clear" w:color="auto" w:fill="FFFFFF"/>
        </w:rPr>
        <w:t xml:space="preserve">fifth and </w:t>
      </w:r>
      <w:r w:rsidRPr="00E803FD">
        <w:rPr>
          <w:bdr w:val="none" w:sz="0" w:space="0" w:color="auto" w:frame="1"/>
          <w:shd w:val="clear" w:color="auto" w:fill="FFFFFF"/>
        </w:rPr>
        <w:t xml:space="preserve">sixth factors of potential prejudice to the movant’s opponent </w:t>
      </w:r>
      <w:r w:rsidR="40D57376" w:rsidRPr="00E803FD">
        <w:rPr>
          <w:bdr w:val="none" w:sz="0" w:space="0" w:color="auto" w:frame="1"/>
          <w:shd w:val="clear" w:color="auto" w:fill="FFFFFF"/>
        </w:rPr>
        <w:t>weigh in favor of Petitioner</w:t>
      </w:r>
      <w:r w:rsidRPr="00E803FD">
        <w:rPr>
          <w:bdr w:val="none" w:sz="0" w:space="0" w:color="auto" w:frame="1"/>
          <w:shd w:val="clear" w:color="auto" w:fill="FFFFFF"/>
        </w:rPr>
        <w:t>.</w:t>
      </w:r>
      <w:r w:rsidR="00A240AF">
        <w:rPr>
          <w:bdr w:val="none" w:sz="0" w:space="0" w:color="auto" w:frame="1"/>
          <w:shd w:val="clear" w:color="auto" w:fill="FFFFFF"/>
        </w:rPr>
        <w:t xml:space="preserve"> </w:t>
      </w:r>
      <w:r w:rsidR="7E900649" w:rsidRPr="00E803FD">
        <w:rPr>
          <w:bdr w:val="none" w:sz="0" w:space="0" w:color="auto" w:frame="1"/>
        </w:rPr>
        <w:t>Court</w:t>
      </w:r>
      <w:r w:rsidR="00E9066E">
        <w:rPr>
          <w:bdr w:val="none" w:sz="0" w:space="0" w:color="auto" w:frame="1"/>
        </w:rPr>
        <w:t>s</w:t>
      </w:r>
      <w:r w:rsidR="7E900649" w:rsidRPr="00E803FD">
        <w:rPr>
          <w:bdr w:val="none" w:sz="0" w:space="0" w:color="auto" w:frame="1"/>
        </w:rPr>
        <w:t xml:space="preserve"> have observed that </w:t>
      </w:r>
      <w:r w:rsidR="00E9066E">
        <w:rPr>
          <w:bdr w:val="none" w:sz="0" w:space="0" w:color="auto" w:frame="1"/>
        </w:rPr>
        <w:t>“</w:t>
      </w:r>
      <w:r w:rsidRPr="00E803FD">
        <w:rPr>
          <w:bdr w:val="none" w:sz="0" w:space="0" w:color="auto" w:frame="1"/>
        </w:rPr>
        <w:t>[s]</w:t>
      </w:r>
      <w:proofErr w:type="spellStart"/>
      <w:r w:rsidRPr="00E803FD">
        <w:rPr>
          <w:bdr w:val="none" w:sz="0" w:space="0" w:color="auto" w:frame="1"/>
        </w:rPr>
        <w:t>uits</w:t>
      </w:r>
      <w:proofErr w:type="spellEnd"/>
      <w:r w:rsidRPr="00E803FD">
        <w:rPr>
          <w:bdr w:val="none" w:sz="0" w:space="0" w:color="auto" w:frame="1"/>
        </w:rPr>
        <w:t xml:space="preserve"> against the government involve no injury to the </w:t>
      </w:r>
      <w:r w:rsidR="00DD061F">
        <w:rPr>
          <w:bdr w:val="none" w:sz="0" w:space="0" w:color="auto" w:frame="1"/>
        </w:rPr>
        <w:t>g</w:t>
      </w:r>
      <w:r w:rsidRPr="00E803FD">
        <w:rPr>
          <w:bdr w:val="none" w:sz="0" w:space="0" w:color="auto" w:frame="1"/>
        </w:rPr>
        <w:t>overnment</w:t>
      </w:r>
      <w:r w:rsidR="00E9066E">
        <w:rPr>
          <w:bdr w:val="none" w:sz="0" w:space="0" w:color="auto" w:frame="1"/>
        </w:rPr>
        <w:t>’</w:t>
      </w:r>
      <w:r w:rsidRPr="00E803FD">
        <w:rPr>
          <w:bdr w:val="none" w:sz="0" w:space="0" w:color="auto" w:frame="1"/>
        </w:rPr>
        <w:t>s reputation.</w:t>
      </w:r>
      <w:r w:rsidR="00E9066E">
        <w:rPr>
          <w:bdr w:val="none" w:sz="0" w:space="0" w:color="auto" w:frame="1"/>
        </w:rPr>
        <w:t>”</w:t>
      </w:r>
      <w:r w:rsidR="00A240AF">
        <w:rPr>
          <w:bdr w:val="none" w:sz="0" w:space="0" w:color="auto" w:frame="1"/>
        </w:rPr>
        <w:t xml:space="preserve"> </w:t>
      </w:r>
      <w:r w:rsidRPr="23666342">
        <w:rPr>
          <w:i/>
          <w:iCs/>
          <w:bdr w:val="none" w:sz="0" w:space="0" w:color="auto" w:frame="1"/>
        </w:rPr>
        <w:t>Doe v. Skyline Automobiles Inc.</w:t>
      </w:r>
      <w:r w:rsidRPr="00E803FD">
        <w:rPr>
          <w:bdr w:val="none" w:sz="0" w:space="0" w:color="auto" w:frame="1"/>
        </w:rPr>
        <w:t xml:space="preserve">, 375 F. Supp. 3d 401, 406 (S.D.N.Y. 2019) (citation </w:t>
      </w:r>
      <w:r w:rsidR="00E9066E">
        <w:rPr>
          <w:bdr w:val="none" w:sz="0" w:space="0" w:color="auto" w:frame="1"/>
        </w:rPr>
        <w:t>modified</w:t>
      </w:r>
      <w:r w:rsidRPr="00E803FD">
        <w:rPr>
          <w:bdr w:val="none" w:sz="0" w:space="0" w:color="auto" w:frame="1"/>
        </w:rPr>
        <w:t>)</w:t>
      </w:r>
      <w:r w:rsidR="00E430E2">
        <w:rPr>
          <w:bdr w:val="none" w:sz="0" w:space="0" w:color="auto" w:frame="1"/>
        </w:rPr>
        <w:t>.</w:t>
      </w:r>
      <w:r w:rsidR="00A240AF">
        <w:rPr>
          <w:b/>
          <w:bCs/>
          <w:bdr w:val="none" w:sz="0" w:space="0" w:color="auto" w:frame="1"/>
        </w:rPr>
        <w:t xml:space="preserve"> </w:t>
      </w:r>
      <w:r w:rsidRPr="00E803FD">
        <w:rPr>
          <w:bdr w:val="none" w:sz="0" w:space="0" w:color="auto" w:frame="1"/>
          <w:shd w:val="clear" w:color="auto" w:fill="FFFFFF"/>
        </w:rPr>
        <w:t xml:space="preserve">Respondents are also not prejudiced since they are aware of Petitioner’s identity. </w:t>
      </w:r>
      <w:r w:rsidRPr="00E430E2">
        <w:rPr>
          <w:highlight w:val="yellow"/>
          <w:bdr w:val="none" w:sz="0" w:space="0" w:color="auto" w:frame="1"/>
          <w:shd w:val="clear" w:color="auto" w:fill="FFFFFF"/>
        </w:rPr>
        <w:t xml:space="preserve">(Name </w:t>
      </w:r>
      <w:r w:rsidR="00E430E2" w:rsidRPr="00E430E2">
        <w:rPr>
          <w:highlight w:val="yellow"/>
          <w:bdr w:val="none" w:sz="0" w:space="0" w:color="auto" w:frame="1"/>
          <w:shd w:val="clear" w:color="auto" w:fill="FFFFFF"/>
        </w:rPr>
        <w:t>Decl</w:t>
      </w:r>
      <w:r w:rsidRPr="00E430E2">
        <w:rPr>
          <w:highlight w:val="yellow"/>
          <w:bdr w:val="none" w:sz="0" w:space="0" w:color="auto" w:frame="1"/>
          <w:shd w:val="clear" w:color="auto" w:fill="FFFFFF"/>
        </w:rPr>
        <w:t>., at ___.)</w:t>
      </w:r>
      <w:r w:rsidRPr="00E803FD">
        <w:rPr>
          <w:bdr w:val="none" w:sz="0" w:space="0" w:color="auto" w:frame="1"/>
          <w:shd w:val="clear" w:color="auto" w:fill="FFFFFF"/>
        </w:rPr>
        <w:t xml:space="preserve"> </w:t>
      </w:r>
    </w:p>
    <w:p w14:paraId="6EF21772" w14:textId="08B87138" w:rsidR="00D7442F" w:rsidRPr="00F80D84" w:rsidRDefault="0082589A" w:rsidP="00F80D84">
      <w:pPr>
        <w:pStyle w:val="Heading3"/>
        <w:numPr>
          <w:ilvl w:val="0"/>
          <w:numId w:val="10"/>
        </w:numPr>
        <w:rPr>
          <w:rFonts w:cs="Times New Roman"/>
          <w:bdr w:val="none" w:sz="0" w:space="0" w:color="auto" w:frame="1"/>
        </w:rPr>
      </w:pPr>
      <w:r w:rsidRPr="00E803FD">
        <w:rPr>
          <w:rFonts w:cs="Times New Roman"/>
          <w:bdr w:val="none" w:sz="0" w:space="0" w:color="auto" w:frame="1"/>
        </w:rPr>
        <w:t>The Public’s Interest in Knowing Petitioner’s Identity is Minimal</w:t>
      </w:r>
    </w:p>
    <w:p w14:paraId="0678430B" w14:textId="0596408B" w:rsidR="004E5604" w:rsidRPr="00E803FD" w:rsidRDefault="00F7095A" w:rsidP="00F80D84">
      <w:pPr>
        <w:rPr>
          <w:bdr w:val="none" w:sz="0" w:space="0" w:color="auto" w:frame="1"/>
        </w:rPr>
      </w:pPr>
      <w:r w:rsidRPr="00E803FD">
        <w:rPr>
          <w:bdr w:val="none" w:sz="0" w:space="0" w:color="auto" w:frame="1"/>
        </w:rPr>
        <w:t>The seventh factor</w:t>
      </w:r>
      <w:r w:rsidR="00F80D84">
        <w:rPr>
          <w:bdr w:val="none" w:sz="0" w:space="0" w:color="auto" w:frame="1"/>
        </w:rPr>
        <w:t>—</w:t>
      </w:r>
      <w:r w:rsidRPr="00E803FD">
        <w:rPr>
          <w:bdr w:val="none" w:sz="0" w:space="0" w:color="auto" w:frame="1"/>
        </w:rPr>
        <w:t xml:space="preserve">whether the plaintiff or petitioner’s identity is already </w:t>
      </w:r>
      <w:r w:rsidR="004E5604" w:rsidRPr="00E803FD">
        <w:rPr>
          <w:bdr w:val="none" w:sz="0" w:space="0" w:color="auto" w:frame="1"/>
        </w:rPr>
        <w:t xml:space="preserve">publicly </w:t>
      </w:r>
      <w:r w:rsidRPr="00E803FD">
        <w:rPr>
          <w:bdr w:val="none" w:sz="0" w:space="0" w:color="auto" w:frame="1"/>
        </w:rPr>
        <w:t>known</w:t>
      </w:r>
      <w:r w:rsidR="00F80D84">
        <w:rPr>
          <w:bdr w:val="none" w:sz="0" w:space="0" w:color="auto" w:frame="1"/>
        </w:rPr>
        <w:t>—</w:t>
      </w:r>
      <w:r w:rsidRPr="00E803FD">
        <w:rPr>
          <w:bdr w:val="none" w:sz="0" w:space="0" w:color="auto" w:frame="1"/>
        </w:rPr>
        <w:t>weighs in favor of Petitioner here</w:t>
      </w:r>
      <w:r w:rsidR="004E5604" w:rsidRPr="00E803FD">
        <w:rPr>
          <w:bdr w:val="none" w:sz="0" w:space="0" w:color="auto" w:frame="1"/>
        </w:rPr>
        <w:t xml:space="preserve"> since his/her identity has not been previously disclosed</w:t>
      </w:r>
      <w:r w:rsidRPr="00E803FD">
        <w:rPr>
          <w:bdr w:val="none" w:sz="0" w:space="0" w:color="auto" w:frame="1"/>
        </w:rPr>
        <w:t xml:space="preserve">. </w:t>
      </w:r>
    </w:p>
    <w:p w14:paraId="4D659E5B" w14:textId="09D6BE3A" w:rsidR="0007233A" w:rsidRPr="00EC0E49" w:rsidRDefault="00F7095A" w:rsidP="00EC0E49">
      <w:pPr>
        <w:rPr>
          <w:bdr w:val="none" w:sz="0" w:space="0" w:color="auto" w:frame="1"/>
        </w:rPr>
      </w:pPr>
      <w:r w:rsidRPr="00E803FD">
        <w:rPr>
          <w:bdr w:val="none" w:sz="0" w:space="0" w:color="auto" w:frame="1"/>
        </w:rPr>
        <w:t>The eight</w:t>
      </w:r>
      <w:r w:rsidR="00F80D84">
        <w:rPr>
          <w:bdr w:val="none" w:sz="0" w:space="0" w:color="auto" w:frame="1"/>
        </w:rPr>
        <w:t>h</w:t>
      </w:r>
      <w:r w:rsidRPr="00E803FD">
        <w:rPr>
          <w:bdr w:val="none" w:sz="0" w:space="0" w:color="auto" w:frame="1"/>
        </w:rPr>
        <w:t xml:space="preserve"> </w:t>
      </w:r>
      <w:r w:rsidR="00F80D84">
        <w:rPr>
          <w:bdr w:val="none" w:sz="0" w:space="0" w:color="auto" w:frame="1"/>
        </w:rPr>
        <w:t xml:space="preserve">and </w:t>
      </w:r>
      <w:r w:rsidRPr="00E803FD">
        <w:rPr>
          <w:bdr w:val="none" w:sz="0" w:space="0" w:color="auto" w:frame="1"/>
        </w:rPr>
        <w:t>ninth facto</w:t>
      </w:r>
      <w:r w:rsidR="004E5604" w:rsidRPr="00E803FD">
        <w:rPr>
          <w:bdr w:val="none" w:sz="0" w:space="0" w:color="auto" w:frame="1"/>
        </w:rPr>
        <w:t xml:space="preserve">rs consider </w:t>
      </w:r>
      <w:r w:rsidRPr="00E803FD">
        <w:rPr>
          <w:bdr w:val="none" w:sz="0" w:space="0" w:color="auto" w:frame="1"/>
        </w:rPr>
        <w:t xml:space="preserve">the public’s specific interest in </w:t>
      </w:r>
      <w:r w:rsidR="004E5604" w:rsidRPr="00E803FD">
        <w:rPr>
          <w:bdr w:val="none" w:sz="0" w:space="0" w:color="auto" w:frame="1"/>
        </w:rPr>
        <w:t xml:space="preserve">the litigation. </w:t>
      </w:r>
      <w:r w:rsidR="0082589A" w:rsidRPr="00E803FD">
        <w:rPr>
          <w:bdr w:val="none" w:sz="0" w:space="0" w:color="auto" w:frame="1"/>
        </w:rPr>
        <w:t xml:space="preserve">Courts have held that the questions at issue in habeas corpus proceedings </w:t>
      </w:r>
      <w:r w:rsidR="0022309C" w:rsidRPr="00E803FD">
        <w:rPr>
          <w:bdr w:val="none" w:sz="0" w:space="0" w:color="auto" w:frame="1"/>
        </w:rPr>
        <w:t xml:space="preserve">do not give rise to a significant public interest in knowing the details of the petitioner’s identity. </w:t>
      </w:r>
      <w:r w:rsidR="00EC0E49" w:rsidRPr="00EC0E49">
        <w:rPr>
          <w:i/>
          <w:iCs/>
          <w:bdr w:val="none" w:sz="0" w:space="0" w:color="auto" w:frame="1"/>
        </w:rPr>
        <w:t>See</w:t>
      </w:r>
      <w:r w:rsidR="00EC0E49">
        <w:rPr>
          <w:bdr w:val="none" w:sz="0" w:space="0" w:color="auto" w:frame="1"/>
        </w:rPr>
        <w:t xml:space="preserve"> </w:t>
      </w:r>
      <w:r w:rsidR="006B1206" w:rsidRPr="00EC0E49">
        <w:rPr>
          <w:i/>
          <w:iCs/>
          <w:bdr w:val="none" w:sz="0" w:space="0" w:color="auto" w:frame="1"/>
        </w:rPr>
        <w:t>K.U. v. Freden</w:t>
      </w:r>
      <w:r w:rsidR="006B1206">
        <w:rPr>
          <w:bdr w:val="none" w:sz="0" w:space="0" w:color="auto" w:frame="1"/>
          <w:shd w:val="clear" w:color="auto" w:fill="FFFFFF"/>
        </w:rPr>
        <w:t xml:space="preserve">, </w:t>
      </w:r>
      <w:r w:rsidR="006B1206" w:rsidRPr="00744E34">
        <w:rPr>
          <w:bdr w:val="none" w:sz="0" w:space="0" w:color="auto" w:frame="1"/>
          <w:shd w:val="clear" w:color="auto" w:fill="FFFFFF"/>
        </w:rPr>
        <w:t>2025 WL 1473974</w:t>
      </w:r>
      <w:r w:rsidR="006B1206" w:rsidRPr="00E803FD">
        <w:rPr>
          <w:bdr w:val="none" w:sz="0" w:space="0" w:color="auto" w:frame="1"/>
          <w:shd w:val="clear" w:color="auto" w:fill="FFFFFF"/>
        </w:rPr>
        <w:t>, at *</w:t>
      </w:r>
      <w:r w:rsidR="006B1206">
        <w:rPr>
          <w:bdr w:val="none" w:sz="0" w:space="0" w:color="auto" w:frame="1"/>
          <w:shd w:val="clear" w:color="auto" w:fill="FFFFFF"/>
        </w:rPr>
        <w:t>4–5</w:t>
      </w:r>
      <w:r w:rsidR="00D7442F" w:rsidRPr="23666342">
        <w:rPr>
          <w:b/>
          <w:bCs/>
          <w:bdr w:val="none" w:sz="0" w:space="0" w:color="auto" w:frame="1"/>
        </w:rPr>
        <w:t xml:space="preserve"> </w:t>
      </w:r>
      <w:r w:rsidR="0022309C" w:rsidRPr="00E803FD">
        <w:rPr>
          <w:bdr w:val="none" w:sz="0" w:space="0" w:color="auto" w:frame="1"/>
          <w:shd w:val="clear" w:color="auto" w:fill="FFFFFF"/>
        </w:rPr>
        <w:t xml:space="preserve">(constitutional question of whether detainee is entitled to a bond hearing is a “weak” public interest that doesn’t extend to exact identity of the petitioner); </w:t>
      </w:r>
      <w:r w:rsidRPr="23666342">
        <w:rPr>
          <w:i/>
          <w:iCs/>
          <w:bdr w:val="none" w:sz="0" w:space="0" w:color="auto" w:frame="1"/>
          <w:shd w:val="clear" w:color="auto" w:fill="FFFFFF"/>
        </w:rPr>
        <w:t>J.M.H. v Freden</w:t>
      </w:r>
      <w:r w:rsidRPr="00E803FD">
        <w:rPr>
          <w:bdr w:val="none" w:sz="0" w:space="0" w:color="auto" w:frame="1"/>
          <w:shd w:val="clear" w:color="auto" w:fill="FFFFFF"/>
        </w:rPr>
        <w:t xml:space="preserve">, </w:t>
      </w:r>
      <w:r w:rsidR="00EC0E49" w:rsidRPr="002110D4">
        <w:rPr>
          <w:bdr w:val="none" w:sz="0" w:space="0" w:color="auto" w:frame="1"/>
          <w:shd w:val="clear" w:color="auto" w:fill="FFFFFF"/>
        </w:rPr>
        <w:t>2025 WL 81919</w:t>
      </w:r>
      <w:r w:rsidRPr="00E803FD">
        <w:rPr>
          <w:bdr w:val="none" w:sz="0" w:space="0" w:color="auto" w:frame="1"/>
          <w:shd w:val="clear" w:color="auto" w:fill="FFFFFF"/>
        </w:rPr>
        <w:t>, at *</w:t>
      </w:r>
      <w:r w:rsidR="00ED3422">
        <w:rPr>
          <w:bdr w:val="none" w:sz="0" w:space="0" w:color="auto" w:frame="1"/>
          <w:shd w:val="clear" w:color="auto" w:fill="FFFFFF"/>
        </w:rPr>
        <w:t>3</w:t>
      </w:r>
      <w:r w:rsidRPr="00E803FD">
        <w:rPr>
          <w:bdr w:val="none" w:sz="0" w:space="0" w:color="auto" w:frame="1"/>
          <w:shd w:val="clear" w:color="auto" w:fill="FFFFFF"/>
        </w:rPr>
        <w:t xml:space="preserve"> (</w:t>
      </w:r>
      <w:r w:rsidRPr="00ED3422">
        <w:rPr>
          <w:bdr w:val="none" w:sz="0" w:space="0" w:color="auto" w:frame="1"/>
          <w:shd w:val="clear" w:color="auto" w:fill="FFFFFF"/>
        </w:rPr>
        <w:t>same</w:t>
      </w:r>
      <w:r w:rsidRPr="00E803FD">
        <w:rPr>
          <w:bdr w:val="none" w:sz="0" w:space="0" w:color="auto" w:frame="1"/>
          <w:shd w:val="clear" w:color="auto" w:fill="FFFFFF"/>
        </w:rPr>
        <w:t xml:space="preserve">). </w:t>
      </w:r>
      <w:r w:rsidR="4DD3DEF5" w:rsidRPr="00E803FD">
        <w:rPr>
          <w:bdr w:val="none" w:sz="0" w:space="0" w:color="auto" w:frame="1"/>
          <w:shd w:val="clear" w:color="auto" w:fill="FFFFFF"/>
        </w:rPr>
        <w:t xml:space="preserve">Given the similar </w:t>
      </w:r>
      <w:r w:rsidR="00CF47C1" w:rsidRPr="00E803FD">
        <w:rPr>
          <w:bdr w:val="none" w:sz="0" w:space="0" w:color="auto" w:frame="1"/>
          <w:shd w:val="clear" w:color="auto" w:fill="FFFFFF"/>
        </w:rPr>
        <w:t>circumstances</w:t>
      </w:r>
      <w:r w:rsidR="4DD3DEF5" w:rsidRPr="00E803FD">
        <w:rPr>
          <w:bdr w:val="none" w:sz="0" w:space="0" w:color="auto" w:frame="1"/>
          <w:shd w:val="clear" w:color="auto" w:fill="FFFFFF"/>
        </w:rPr>
        <w:t xml:space="preserve"> at issue in this </w:t>
      </w:r>
      <w:r w:rsidR="00A240AF">
        <w:rPr>
          <w:bdr w:val="none" w:sz="0" w:space="0" w:color="auto" w:frame="1"/>
          <w:shd w:val="clear" w:color="auto" w:fill="FFFFFF"/>
        </w:rPr>
        <w:t>h</w:t>
      </w:r>
      <w:r w:rsidR="4DD3DEF5" w:rsidRPr="00E803FD">
        <w:rPr>
          <w:bdr w:val="none" w:sz="0" w:space="0" w:color="auto" w:frame="1"/>
          <w:shd w:val="clear" w:color="auto" w:fill="FFFFFF"/>
        </w:rPr>
        <w:t>abeas corpus proceeding, t</w:t>
      </w:r>
      <w:r w:rsidR="004E5604" w:rsidRPr="00E803FD">
        <w:rPr>
          <w:bdr w:val="none" w:sz="0" w:space="0" w:color="auto" w:frame="1"/>
          <w:shd w:val="clear" w:color="auto" w:fill="FFFFFF"/>
        </w:rPr>
        <w:t xml:space="preserve">he Court should draw the same conclusion here. </w:t>
      </w:r>
    </w:p>
    <w:p w14:paraId="44DEC525" w14:textId="7A420B6A" w:rsidR="0082589A" w:rsidRPr="00FC73FB" w:rsidRDefault="00DB71BB" w:rsidP="00612289">
      <w:pPr>
        <w:shd w:val="clear" w:color="auto" w:fill="FFFFFF"/>
        <w:textAlignment w:val="baseline"/>
        <w:rPr>
          <w:bdr w:val="none" w:sz="0" w:space="0" w:color="auto" w:frame="1"/>
          <w:shd w:val="clear" w:color="auto" w:fill="FFFFFF"/>
        </w:rPr>
      </w:pPr>
      <w:r w:rsidRPr="00E803FD">
        <w:rPr>
          <w:bdr w:val="none" w:sz="0" w:space="0" w:color="auto" w:frame="1"/>
          <w:shd w:val="clear" w:color="auto" w:fill="FFFFFF"/>
        </w:rPr>
        <w:t xml:space="preserve">With respect to the </w:t>
      </w:r>
      <w:r w:rsidR="004E5604" w:rsidRPr="00E803FD">
        <w:rPr>
          <w:bdr w:val="none" w:sz="0" w:space="0" w:color="auto" w:frame="1"/>
          <w:shd w:val="clear" w:color="auto" w:fill="FFFFFF"/>
        </w:rPr>
        <w:t xml:space="preserve">tenth factor of alternative measures </w:t>
      </w:r>
      <w:r w:rsidR="0007233A" w:rsidRPr="00E803FD">
        <w:rPr>
          <w:bdr w:val="none" w:sz="0" w:space="0" w:color="auto" w:frame="1"/>
          <w:shd w:val="clear" w:color="auto" w:fill="FFFFFF"/>
        </w:rPr>
        <w:t>that would</w:t>
      </w:r>
      <w:r w:rsidR="004E5604" w:rsidRPr="00E803FD">
        <w:rPr>
          <w:bdr w:val="none" w:sz="0" w:space="0" w:color="auto" w:frame="1"/>
          <w:shd w:val="clear" w:color="auto" w:fill="FFFFFF"/>
        </w:rPr>
        <w:t xml:space="preserve"> mitigate the harm of disclosure</w:t>
      </w:r>
      <w:r w:rsidRPr="00E803FD">
        <w:rPr>
          <w:bdr w:val="none" w:sz="0" w:space="0" w:color="auto" w:frame="1"/>
          <w:shd w:val="clear" w:color="auto" w:fill="FFFFFF"/>
        </w:rPr>
        <w:t xml:space="preserve">, </w:t>
      </w:r>
      <w:r w:rsidR="0007233A" w:rsidRPr="00E803FD">
        <w:rPr>
          <w:bdr w:val="none" w:sz="0" w:space="0" w:color="auto" w:frame="1"/>
          <w:shd w:val="clear" w:color="auto" w:fill="FFFFFF"/>
        </w:rPr>
        <w:t xml:space="preserve">whereas here, such measures would risk disclosure, they are outweighed by the threat of harm to </w:t>
      </w:r>
      <w:r w:rsidR="00612289">
        <w:rPr>
          <w:bdr w:val="none" w:sz="0" w:space="0" w:color="auto" w:frame="1"/>
          <w:shd w:val="clear" w:color="auto" w:fill="FFFFFF"/>
        </w:rPr>
        <w:t>P</w:t>
      </w:r>
      <w:r w:rsidR="0007233A" w:rsidRPr="00E803FD">
        <w:rPr>
          <w:bdr w:val="none" w:sz="0" w:space="0" w:color="auto" w:frame="1"/>
          <w:shd w:val="clear" w:color="auto" w:fill="FFFFFF"/>
        </w:rPr>
        <w:t xml:space="preserve">etitioner. </w:t>
      </w:r>
      <w:r w:rsidR="0007233A" w:rsidRPr="00795674">
        <w:rPr>
          <w:i/>
          <w:iCs/>
          <w:bdr w:val="none" w:sz="0" w:space="0" w:color="auto" w:frame="1"/>
          <w:shd w:val="clear" w:color="auto" w:fill="FFFFFF"/>
        </w:rPr>
        <w:t>See</w:t>
      </w:r>
      <w:r w:rsidR="0007233A" w:rsidRPr="00E803FD">
        <w:rPr>
          <w:bdr w:val="none" w:sz="0" w:space="0" w:color="auto" w:frame="1"/>
          <w:shd w:val="clear" w:color="auto" w:fill="FFFFFF"/>
        </w:rPr>
        <w:t xml:space="preserve"> </w:t>
      </w:r>
      <w:r w:rsidR="00612289">
        <w:rPr>
          <w:i/>
          <w:bdr w:val="none" w:sz="0" w:space="0" w:color="auto" w:frame="1"/>
          <w:shd w:val="clear" w:color="auto" w:fill="FFFFFF"/>
        </w:rPr>
        <w:t>id.</w:t>
      </w:r>
    </w:p>
    <w:p w14:paraId="40EB39BA" w14:textId="2E739D9B" w:rsidR="00577BB2" w:rsidRPr="00E803FD" w:rsidRDefault="00577BB2" w:rsidP="0057525A">
      <w:pPr>
        <w:pStyle w:val="Heading2"/>
      </w:pPr>
      <w:r w:rsidRPr="23666342">
        <w:t xml:space="preserve">The Court Should </w:t>
      </w:r>
      <w:r w:rsidR="003F57E6">
        <w:t xml:space="preserve">Permit Filing of the Unredacted Petition and Supporting Exhibits Under </w:t>
      </w:r>
      <w:r w:rsidRPr="23666342">
        <w:t>Seal</w:t>
      </w:r>
    </w:p>
    <w:p w14:paraId="332C1104" w14:textId="2435B7B6" w:rsidR="0007233A" w:rsidRPr="00F80D84" w:rsidRDefault="0007233A" w:rsidP="00A240AF">
      <w:pPr>
        <w:pStyle w:val="Heading3"/>
      </w:pPr>
      <w:r w:rsidRPr="00E803FD">
        <w:t xml:space="preserve">Applicable legal standard </w:t>
      </w:r>
    </w:p>
    <w:p w14:paraId="10E728F8" w14:textId="188A24C4" w:rsidR="00E430E2" w:rsidRDefault="00E430E2" w:rsidP="000A19D6">
      <w:pPr>
        <w:pStyle w:val="20sp0"/>
        <w:rPr>
          <w:sz w:val="24"/>
          <w:szCs w:val="24"/>
        </w:rPr>
      </w:pPr>
      <w:r>
        <w:rPr>
          <w:sz w:val="24"/>
          <w:szCs w:val="24"/>
        </w:rPr>
        <w:t xml:space="preserve">The Government has been made aware of the Petitioner’s identity. </w:t>
      </w:r>
      <w:r w:rsidRPr="00E430E2">
        <w:rPr>
          <w:sz w:val="24"/>
          <w:szCs w:val="24"/>
          <w:highlight w:val="yellow"/>
        </w:rPr>
        <w:t>(Name Decl., at __, Exhibit ___ (</w:t>
      </w:r>
      <w:r w:rsidR="001F1988">
        <w:rPr>
          <w:sz w:val="24"/>
          <w:szCs w:val="24"/>
          <w:highlight w:val="yellow"/>
        </w:rPr>
        <w:t>e.g.</w:t>
      </w:r>
      <w:r w:rsidRPr="00E430E2">
        <w:rPr>
          <w:sz w:val="24"/>
          <w:szCs w:val="24"/>
          <w:highlight w:val="yellow"/>
        </w:rPr>
        <w:t xml:space="preserve"> Email </w:t>
      </w:r>
      <w:r w:rsidR="001F1988">
        <w:rPr>
          <w:sz w:val="24"/>
          <w:szCs w:val="24"/>
          <w:highlight w:val="yellow"/>
        </w:rPr>
        <w:t xml:space="preserve">of [date], </w:t>
      </w:r>
      <w:r w:rsidRPr="00E430E2">
        <w:rPr>
          <w:sz w:val="24"/>
          <w:szCs w:val="24"/>
          <w:highlight w:val="yellow"/>
        </w:rPr>
        <w:t>indicating advised Government of Petitioner’s identity</w:t>
      </w:r>
      <w:r w:rsidR="001F1988">
        <w:rPr>
          <w:sz w:val="24"/>
          <w:szCs w:val="24"/>
          <w:highlight w:val="yellow"/>
        </w:rPr>
        <w:t xml:space="preserve"> and A-</w:t>
      </w:r>
      <w:r w:rsidR="001F1988">
        <w:rPr>
          <w:sz w:val="24"/>
          <w:szCs w:val="24"/>
          <w:highlight w:val="yellow"/>
        </w:rPr>
        <w:lastRenderedPageBreak/>
        <w:t>Number</w:t>
      </w:r>
      <w:r w:rsidRPr="00E430E2">
        <w:rPr>
          <w:sz w:val="24"/>
          <w:szCs w:val="24"/>
          <w:highlight w:val="yellow"/>
        </w:rPr>
        <w:t>)</w:t>
      </w:r>
      <w:r>
        <w:rPr>
          <w:sz w:val="24"/>
          <w:szCs w:val="24"/>
        </w:rPr>
        <w:t xml:space="preserve">. Should the Court require filing of an unredacted version of the Petition, with unredacted exhibits, such version should be filed under seal. </w:t>
      </w:r>
    </w:p>
    <w:p w14:paraId="58C81447" w14:textId="281A381B" w:rsidR="000A19D6" w:rsidRDefault="00DB320D" w:rsidP="000A19D6">
      <w:pPr>
        <w:pStyle w:val="20sp0"/>
        <w:rPr>
          <w:sz w:val="24"/>
          <w:szCs w:val="24"/>
        </w:rPr>
      </w:pPr>
      <w:r w:rsidRPr="00DB320D">
        <w:rPr>
          <w:sz w:val="24"/>
          <w:szCs w:val="24"/>
        </w:rPr>
        <w:t xml:space="preserve">“The Second Circuit has articulated a three-step process for determining whether documents should be placed under seal.” </w:t>
      </w:r>
      <w:r w:rsidRPr="00DB320D">
        <w:rPr>
          <w:i/>
          <w:iCs/>
          <w:sz w:val="24"/>
          <w:szCs w:val="24"/>
        </w:rPr>
        <w:t xml:space="preserve">Mut. Marine Office, Inc. v. </w:t>
      </w:r>
      <w:proofErr w:type="spellStart"/>
      <w:r w:rsidRPr="00DB320D">
        <w:rPr>
          <w:i/>
          <w:iCs/>
          <w:sz w:val="24"/>
          <w:szCs w:val="24"/>
        </w:rPr>
        <w:t>Transfercom</w:t>
      </w:r>
      <w:proofErr w:type="spellEnd"/>
      <w:r w:rsidRPr="00DB320D">
        <w:rPr>
          <w:i/>
          <w:iCs/>
          <w:sz w:val="24"/>
          <w:szCs w:val="24"/>
        </w:rPr>
        <w:t xml:space="preserve"> Ltd.</w:t>
      </w:r>
      <w:r w:rsidRPr="00224990">
        <w:rPr>
          <w:sz w:val="24"/>
          <w:szCs w:val="24"/>
        </w:rPr>
        <w:t>,</w:t>
      </w:r>
      <w:r w:rsidRPr="00DB320D">
        <w:rPr>
          <w:i/>
          <w:iCs/>
          <w:sz w:val="24"/>
          <w:szCs w:val="24"/>
        </w:rPr>
        <w:t xml:space="preserve"> </w:t>
      </w:r>
      <w:r w:rsidRPr="00DB320D">
        <w:rPr>
          <w:sz w:val="24"/>
          <w:szCs w:val="24"/>
        </w:rPr>
        <w:t>No. 08 Civ. 10367 (PGG), 2009 WL 1025965, at *4 (S</w:t>
      </w:r>
      <w:r w:rsidR="007900D7">
        <w:rPr>
          <w:sz w:val="24"/>
          <w:szCs w:val="24"/>
        </w:rPr>
        <w:t>.</w:t>
      </w:r>
      <w:r w:rsidRPr="00DB320D">
        <w:rPr>
          <w:sz w:val="24"/>
          <w:szCs w:val="24"/>
        </w:rPr>
        <w:t>D</w:t>
      </w:r>
      <w:r w:rsidR="007900D7">
        <w:rPr>
          <w:sz w:val="24"/>
          <w:szCs w:val="24"/>
        </w:rPr>
        <w:t>.</w:t>
      </w:r>
      <w:r w:rsidRPr="00DB320D">
        <w:rPr>
          <w:sz w:val="24"/>
          <w:szCs w:val="24"/>
        </w:rPr>
        <w:t>N</w:t>
      </w:r>
      <w:r w:rsidR="007900D7">
        <w:rPr>
          <w:sz w:val="24"/>
          <w:szCs w:val="24"/>
        </w:rPr>
        <w:t>.</w:t>
      </w:r>
      <w:r w:rsidRPr="00DB320D">
        <w:rPr>
          <w:sz w:val="24"/>
          <w:szCs w:val="24"/>
        </w:rPr>
        <w:t>Y</w:t>
      </w:r>
      <w:r w:rsidR="007900D7">
        <w:rPr>
          <w:sz w:val="24"/>
          <w:szCs w:val="24"/>
        </w:rPr>
        <w:t>.</w:t>
      </w:r>
      <w:r w:rsidRPr="00DB320D">
        <w:rPr>
          <w:sz w:val="24"/>
          <w:szCs w:val="24"/>
        </w:rPr>
        <w:t xml:space="preserve"> Apr. 15, 2009). This three-step process entails determining whether the document to be sealed is a “judicial document” to which the presumption of access should attach, and if so, balancing the interest in public disclosure against the privacy interests at stake. </w:t>
      </w:r>
      <w:r w:rsidRPr="00DB320D">
        <w:rPr>
          <w:i/>
          <w:sz w:val="24"/>
          <w:szCs w:val="24"/>
        </w:rPr>
        <w:t>Id.</w:t>
      </w:r>
      <w:r w:rsidRPr="00DB320D">
        <w:rPr>
          <w:sz w:val="24"/>
          <w:szCs w:val="24"/>
        </w:rPr>
        <w:t xml:space="preserve"> at *4 </w:t>
      </w:r>
      <w:r w:rsidR="008261A3">
        <w:rPr>
          <w:sz w:val="24"/>
          <w:szCs w:val="24"/>
        </w:rPr>
        <w:t>(</w:t>
      </w:r>
      <w:r w:rsidRPr="008A2E16">
        <w:rPr>
          <w:iCs/>
          <w:sz w:val="24"/>
          <w:szCs w:val="24"/>
        </w:rPr>
        <w:t>citing</w:t>
      </w:r>
      <w:r w:rsidRPr="00DB320D">
        <w:rPr>
          <w:sz w:val="24"/>
          <w:szCs w:val="24"/>
        </w:rPr>
        <w:t xml:space="preserve"> </w:t>
      </w:r>
      <w:proofErr w:type="spellStart"/>
      <w:r w:rsidRPr="00DB320D">
        <w:rPr>
          <w:i/>
          <w:sz w:val="24"/>
          <w:szCs w:val="24"/>
        </w:rPr>
        <w:t>Lugosch</w:t>
      </w:r>
      <w:proofErr w:type="spellEnd"/>
      <w:r w:rsidRPr="00DB320D">
        <w:rPr>
          <w:i/>
          <w:sz w:val="24"/>
          <w:szCs w:val="24"/>
        </w:rPr>
        <w:t xml:space="preserve"> v. Pyramid Co. of Onondaga</w:t>
      </w:r>
      <w:r w:rsidRPr="00E62BD8">
        <w:rPr>
          <w:iCs/>
          <w:sz w:val="24"/>
          <w:szCs w:val="24"/>
        </w:rPr>
        <w:t>,</w:t>
      </w:r>
      <w:r w:rsidRPr="00DB320D">
        <w:rPr>
          <w:i/>
          <w:sz w:val="24"/>
          <w:szCs w:val="24"/>
        </w:rPr>
        <w:t xml:space="preserve"> </w:t>
      </w:r>
      <w:r w:rsidRPr="00DB320D">
        <w:rPr>
          <w:sz w:val="24"/>
          <w:szCs w:val="24"/>
        </w:rPr>
        <w:t>435 F.3d 110, 119</w:t>
      </w:r>
      <w:r w:rsidR="006C57BC">
        <w:rPr>
          <w:sz w:val="24"/>
          <w:szCs w:val="24"/>
        </w:rPr>
        <w:t>–</w:t>
      </w:r>
      <w:r w:rsidRPr="00DB320D">
        <w:rPr>
          <w:sz w:val="24"/>
          <w:szCs w:val="24"/>
        </w:rPr>
        <w:t xml:space="preserve">20 (2d Cir. 2006)). </w:t>
      </w:r>
    </w:p>
    <w:p w14:paraId="542B35ED" w14:textId="19BF36AB" w:rsidR="00DB320D" w:rsidRPr="000A19D6" w:rsidRDefault="00F37D78" w:rsidP="000A19D6">
      <w:pPr>
        <w:pStyle w:val="20sp0"/>
        <w:rPr>
          <w:sz w:val="24"/>
          <w:szCs w:val="24"/>
        </w:rPr>
      </w:pPr>
      <w:r w:rsidRPr="000A19D6">
        <w:rPr>
          <w:color w:val="000000"/>
          <w:sz w:val="24"/>
          <w:szCs w:val="24"/>
        </w:rPr>
        <w:t xml:space="preserve">The party seeking to seal judicial documents bears the burden of overcoming the presumption of public access by demonstrating that “closure is essential to preserve higher values and is narrowly tailored to serve that interest.” In re N.Y. Times Co., 828 F.2d 110, 116 (2d Cir. 1987) (citing Press-Enter. Co. v. Superior Court of Cal., Riverside </w:t>
      </w:r>
      <w:proofErr w:type="spellStart"/>
      <w:r w:rsidRPr="000A19D6">
        <w:rPr>
          <w:color w:val="000000"/>
          <w:sz w:val="24"/>
          <w:szCs w:val="24"/>
        </w:rPr>
        <w:t>Cty</w:t>
      </w:r>
      <w:proofErr w:type="spellEnd"/>
      <w:r w:rsidRPr="000A19D6">
        <w:rPr>
          <w:color w:val="000000"/>
          <w:sz w:val="24"/>
          <w:szCs w:val="24"/>
        </w:rPr>
        <w:t xml:space="preserve">., 464 U.S. 501, 510 (1984)). Factors weighing against the presumption of access include “the privacy interests of those resisting disclosure.” </w:t>
      </w:r>
      <w:proofErr w:type="spellStart"/>
      <w:r w:rsidR="00E803FD" w:rsidRPr="000A19D6">
        <w:rPr>
          <w:i/>
          <w:iCs/>
          <w:color w:val="00172E"/>
          <w:sz w:val="24"/>
          <w:szCs w:val="24"/>
          <w:bdr w:val="none" w:sz="0" w:space="0" w:color="auto" w:frame="1"/>
        </w:rPr>
        <w:t>Lugosch</w:t>
      </w:r>
      <w:proofErr w:type="spellEnd"/>
      <w:r w:rsidR="00E803FD" w:rsidRPr="000A19D6">
        <w:rPr>
          <w:i/>
          <w:iCs/>
          <w:color w:val="00172E"/>
          <w:sz w:val="24"/>
          <w:szCs w:val="24"/>
          <w:bdr w:val="none" w:sz="0" w:space="0" w:color="auto" w:frame="1"/>
        </w:rPr>
        <w:t xml:space="preserve"> v. Pyramid Co. of Onondaga</w:t>
      </w:r>
      <w:r w:rsidR="00E803FD" w:rsidRPr="000A19D6">
        <w:rPr>
          <w:color w:val="00172E"/>
          <w:sz w:val="24"/>
          <w:szCs w:val="24"/>
        </w:rPr>
        <w:t>, 435 F.3d 110, 124-27</w:t>
      </w:r>
      <w:r w:rsidR="004B32A0" w:rsidRPr="00E430E2">
        <w:rPr>
          <w:sz w:val="24"/>
          <w:szCs w:val="24"/>
          <w:highlight w:val="yellow"/>
        </w:rPr>
        <w:t>.</w:t>
      </w:r>
      <w:r w:rsidR="004B32A0" w:rsidRPr="00E430E2">
        <w:rPr>
          <w:rStyle w:val="FootnoteReference"/>
          <w:sz w:val="24"/>
          <w:szCs w:val="24"/>
          <w:highlight w:val="yellow"/>
        </w:rPr>
        <w:footnoteReference w:id="1"/>
      </w:r>
    </w:p>
    <w:p w14:paraId="50319558" w14:textId="1EF227B5" w:rsidR="004B32A0" w:rsidRPr="00E803FD" w:rsidRDefault="00DB320D" w:rsidP="00FC73FB">
      <w:pPr>
        <w:pStyle w:val="Heading2"/>
      </w:pPr>
      <w:r>
        <w:t xml:space="preserve">Petitioner’s privacy and safety concerns warrant sealing this matter </w:t>
      </w:r>
    </w:p>
    <w:p w14:paraId="3818548F" w14:textId="7C51523C" w:rsidR="00DB320D" w:rsidRDefault="00DB320D" w:rsidP="00DB320D">
      <w:pPr>
        <w:pStyle w:val="20sp05"/>
        <w:rPr>
          <w:sz w:val="24"/>
          <w:szCs w:val="24"/>
        </w:rPr>
      </w:pPr>
      <w:r>
        <w:rPr>
          <w:sz w:val="24"/>
          <w:szCs w:val="24"/>
        </w:rPr>
        <w:t xml:space="preserve">It is well established that safeguarding sensitive personal information—precisely the information that </w:t>
      </w:r>
      <w:r w:rsidR="00A240AF">
        <w:rPr>
          <w:sz w:val="24"/>
          <w:szCs w:val="24"/>
        </w:rPr>
        <w:t>Petitioner</w:t>
      </w:r>
      <w:r>
        <w:rPr>
          <w:sz w:val="24"/>
          <w:szCs w:val="24"/>
        </w:rPr>
        <w:t xml:space="preserve"> seeks to seal here—provides a “sufficiently compelling justification for” sealing documents and permitting him to proceed anonymously.</w:t>
      </w:r>
      <w:r w:rsidR="00A240AF">
        <w:rPr>
          <w:sz w:val="24"/>
          <w:szCs w:val="24"/>
        </w:rPr>
        <w:t xml:space="preserve"> </w:t>
      </w:r>
      <w:r>
        <w:rPr>
          <w:i/>
          <w:sz w:val="24"/>
          <w:szCs w:val="24"/>
        </w:rPr>
        <w:t>See United States v. Amodeo</w:t>
      </w:r>
      <w:r>
        <w:rPr>
          <w:sz w:val="24"/>
          <w:szCs w:val="24"/>
        </w:rPr>
        <w:t>, 71 F.3d 1044, 1050</w:t>
      </w:r>
      <w:r w:rsidR="0000764A">
        <w:rPr>
          <w:sz w:val="24"/>
          <w:szCs w:val="24"/>
        </w:rPr>
        <w:t>–</w:t>
      </w:r>
      <w:r>
        <w:rPr>
          <w:sz w:val="24"/>
          <w:szCs w:val="24"/>
        </w:rPr>
        <w:t xml:space="preserve">53 (2d Cir. 1995); </w:t>
      </w:r>
      <w:r>
        <w:rPr>
          <w:i/>
          <w:sz w:val="24"/>
          <w:szCs w:val="24"/>
        </w:rPr>
        <w:t>S</w:t>
      </w:r>
      <w:r>
        <w:rPr>
          <w:i/>
          <w:iCs/>
          <w:sz w:val="24"/>
          <w:szCs w:val="24"/>
        </w:rPr>
        <w:t>ealed Plaintiff</w:t>
      </w:r>
      <w:r>
        <w:rPr>
          <w:sz w:val="24"/>
          <w:szCs w:val="24"/>
        </w:rPr>
        <w:t>, 537 F.3d at 189</w:t>
      </w:r>
      <w:r w:rsidR="00A456A8">
        <w:rPr>
          <w:sz w:val="24"/>
          <w:szCs w:val="24"/>
        </w:rPr>
        <w:t>–</w:t>
      </w:r>
      <w:r>
        <w:rPr>
          <w:sz w:val="24"/>
          <w:szCs w:val="24"/>
        </w:rPr>
        <w:t>90.</w:t>
      </w:r>
      <w:r w:rsidR="00A240AF">
        <w:rPr>
          <w:sz w:val="24"/>
          <w:szCs w:val="24"/>
        </w:rPr>
        <w:t xml:space="preserve"> </w:t>
      </w:r>
    </w:p>
    <w:p w14:paraId="5E50FBFB" w14:textId="2FB32984" w:rsidR="003F57E6" w:rsidRPr="00DB320D" w:rsidRDefault="003F57E6" w:rsidP="00A73F96">
      <w:pPr>
        <w:rPr>
          <w:color w:val="00172E"/>
        </w:rPr>
      </w:pPr>
      <w:r>
        <w:rPr>
          <w:color w:val="00172E"/>
        </w:rPr>
        <w:lastRenderedPageBreak/>
        <w:t>Countervailing interests do not outweigh the privacy and security</w:t>
      </w:r>
      <w:r w:rsidR="00A240AF">
        <w:rPr>
          <w:color w:val="00172E"/>
        </w:rPr>
        <w:t xml:space="preserve"> </w:t>
      </w:r>
      <w:r>
        <w:rPr>
          <w:color w:val="00172E"/>
        </w:rPr>
        <w:t xml:space="preserve">interests at stake, since the sealed material is extremely limited. Only Petitioner’s name and identifying information are sought to be redacted. </w:t>
      </w:r>
    </w:p>
    <w:p w14:paraId="0F8F1C22" w14:textId="6ABFC135" w:rsidR="00DB320D" w:rsidRPr="00DB320D" w:rsidRDefault="007C3A1F" w:rsidP="00A73F96">
      <w:pPr>
        <w:rPr>
          <w:color w:val="00172E"/>
        </w:rPr>
      </w:pPr>
      <w:r w:rsidRPr="00E430E2">
        <w:rPr>
          <w:color w:val="00172E"/>
          <w:highlight w:val="yellow"/>
        </w:rPr>
        <w:t>[Apply law to facts</w:t>
      </w:r>
      <w:r w:rsidR="000E5681" w:rsidRPr="00E430E2">
        <w:rPr>
          <w:color w:val="00172E"/>
          <w:highlight w:val="yellow"/>
        </w:rPr>
        <w:t>—</w:t>
      </w:r>
      <w:r w:rsidRPr="00E430E2">
        <w:rPr>
          <w:color w:val="00172E"/>
          <w:highlight w:val="yellow"/>
        </w:rPr>
        <w:t xml:space="preserve">privacy and safety interests. Submissions such as </w:t>
      </w:r>
      <w:proofErr w:type="spellStart"/>
      <w:r w:rsidRPr="00E430E2">
        <w:rPr>
          <w:color w:val="00172E"/>
          <w:highlight w:val="yellow"/>
        </w:rPr>
        <w:t>xyz</w:t>
      </w:r>
      <w:proofErr w:type="spellEnd"/>
      <w:r w:rsidRPr="00E430E2">
        <w:rPr>
          <w:color w:val="00172E"/>
          <w:highlight w:val="yellow"/>
        </w:rPr>
        <w:t xml:space="preserve"> are also not entitled to a presumption to seal].</w:t>
      </w:r>
      <w:r>
        <w:rPr>
          <w:color w:val="00172E"/>
        </w:rPr>
        <w:t xml:space="preserve"> </w:t>
      </w:r>
    </w:p>
    <w:p w14:paraId="0EFA4005" w14:textId="06134159" w:rsidR="004B32A0" w:rsidRPr="00E803FD" w:rsidRDefault="004B32A0" w:rsidP="23666342">
      <w:pPr>
        <w:pStyle w:val="Heading1"/>
        <w:shd w:val="clear" w:color="auto" w:fill="FFFFFF" w:themeFill="background1"/>
        <w:rPr>
          <w:bCs/>
        </w:rPr>
      </w:pPr>
      <w:bookmarkStart w:id="4" w:name="_Toc203055682"/>
      <w:r w:rsidRPr="23666342">
        <w:rPr>
          <w:caps/>
        </w:rPr>
        <w:t>CONCLUSION</w:t>
      </w:r>
      <w:bookmarkEnd w:id="4"/>
    </w:p>
    <w:p w14:paraId="3176C042" w14:textId="712963FE" w:rsidR="004B32A0" w:rsidRPr="00E803FD" w:rsidRDefault="007C3A1F" w:rsidP="007C3A1F">
      <w:r>
        <w:t>For the aforementioned reasons, Petitioner respectfully requests permission to proceed by initials only, redaction of documents.</w:t>
      </w:r>
    </w:p>
    <w:p w14:paraId="33BA5F8C" w14:textId="77777777" w:rsidR="004B32A0" w:rsidRPr="00E803FD" w:rsidRDefault="004B32A0" w:rsidP="004B32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410"/>
      </w:tblGrid>
      <w:tr w:rsidR="004B32A0" w:rsidRPr="00E803FD" w14:paraId="46BA7774" w14:textId="77777777" w:rsidTr="00FC73FB">
        <w:tc>
          <w:tcPr>
            <w:tcW w:w="5940" w:type="dxa"/>
            <w:hideMark/>
          </w:tcPr>
          <w:p w14:paraId="0FF040D9" w14:textId="77777777" w:rsidR="004B32A0" w:rsidRPr="001F1988" w:rsidRDefault="004B32A0" w:rsidP="00C3027E">
            <w:pPr>
              <w:spacing w:line="240" w:lineRule="auto"/>
              <w:ind w:firstLine="0"/>
              <w:rPr>
                <w:highlight w:val="yellow"/>
              </w:rPr>
            </w:pPr>
            <w:r w:rsidRPr="001F1988">
              <w:rPr>
                <w:highlight w:val="yellow"/>
              </w:rPr>
              <w:t>Dated: New York, NY</w:t>
            </w:r>
          </w:p>
          <w:p w14:paraId="0EF48726" w14:textId="77777777" w:rsidR="004B32A0" w:rsidRPr="001F1988" w:rsidRDefault="004B32A0" w:rsidP="00C3027E">
            <w:pPr>
              <w:spacing w:line="240" w:lineRule="auto"/>
              <w:ind w:firstLine="0"/>
              <w:rPr>
                <w:highlight w:val="yellow"/>
              </w:rPr>
            </w:pPr>
            <w:r w:rsidRPr="001F1988">
              <w:rPr>
                <w:highlight w:val="yellow"/>
              </w:rPr>
              <w:t>[DATE]</w:t>
            </w:r>
          </w:p>
        </w:tc>
        <w:tc>
          <w:tcPr>
            <w:tcW w:w="3410" w:type="dxa"/>
          </w:tcPr>
          <w:p w14:paraId="55F166C3" w14:textId="77777777" w:rsidR="004B32A0" w:rsidRPr="001F1988" w:rsidRDefault="004B32A0" w:rsidP="00FC73FB">
            <w:pPr>
              <w:spacing w:line="240" w:lineRule="auto"/>
              <w:ind w:firstLine="0"/>
              <w:rPr>
                <w:i/>
                <w:highlight w:val="yellow"/>
                <w:u w:val="single"/>
              </w:rPr>
            </w:pPr>
            <w:r w:rsidRPr="001F1988">
              <w:rPr>
                <w:highlight w:val="yellow"/>
                <w:u w:val="single"/>
              </w:rPr>
              <w:t xml:space="preserve">/s/ </w:t>
            </w:r>
            <w:r w:rsidRPr="001F1988">
              <w:rPr>
                <w:i/>
                <w:highlight w:val="yellow"/>
                <w:u w:val="single"/>
              </w:rPr>
              <w:t>[SIGNATURE]</w:t>
            </w:r>
          </w:p>
          <w:p w14:paraId="29003C41" w14:textId="77777777" w:rsidR="004B32A0" w:rsidRPr="001F1988" w:rsidRDefault="004B32A0" w:rsidP="00FC73FB">
            <w:pPr>
              <w:spacing w:line="240" w:lineRule="auto"/>
              <w:ind w:firstLine="0"/>
              <w:rPr>
                <w:highlight w:val="yellow"/>
              </w:rPr>
            </w:pPr>
            <w:r w:rsidRPr="001F1988">
              <w:rPr>
                <w:highlight w:val="yellow"/>
              </w:rPr>
              <w:t>[NAMES OF SIGNATORIES]</w:t>
            </w:r>
          </w:p>
          <w:p w14:paraId="6A8A968A" w14:textId="05E2263D" w:rsidR="004B32A0" w:rsidRPr="001F1988" w:rsidRDefault="004B32A0" w:rsidP="00FC73FB">
            <w:pPr>
              <w:spacing w:line="240" w:lineRule="auto"/>
              <w:ind w:firstLine="0"/>
              <w:rPr>
                <w:highlight w:val="yellow"/>
              </w:rPr>
            </w:pPr>
            <w:r w:rsidRPr="001F1988">
              <w:rPr>
                <w:highlight w:val="yellow"/>
              </w:rPr>
              <w:t>[EMAIL]</w:t>
            </w:r>
          </w:p>
          <w:p w14:paraId="61BE2BA9" w14:textId="77777777" w:rsidR="004B32A0" w:rsidRPr="001F1988" w:rsidRDefault="004B32A0" w:rsidP="00FC73FB">
            <w:pPr>
              <w:ind w:firstLine="0"/>
              <w:rPr>
                <w:highlight w:val="yellow"/>
              </w:rPr>
            </w:pPr>
            <w:r w:rsidRPr="001F1988">
              <w:rPr>
                <w:highlight w:val="yellow"/>
              </w:rPr>
              <w:t>Tel.: [PHONE NUMBER]</w:t>
            </w:r>
          </w:p>
          <w:p w14:paraId="579DD214" w14:textId="77777777" w:rsidR="004B32A0" w:rsidRPr="001F1988" w:rsidRDefault="004B32A0">
            <w:pPr>
              <w:rPr>
                <w:highlight w:val="yellow"/>
              </w:rPr>
            </w:pPr>
          </w:p>
          <w:p w14:paraId="5C912161" w14:textId="77777777" w:rsidR="004B32A0" w:rsidRPr="00E803FD" w:rsidRDefault="004B32A0">
            <w:pPr>
              <w:rPr>
                <w:i/>
              </w:rPr>
            </w:pPr>
            <w:r w:rsidRPr="001F1988">
              <w:rPr>
                <w:i/>
                <w:highlight w:val="yellow"/>
              </w:rPr>
              <w:t>Attorneys for Petitioner</w:t>
            </w:r>
          </w:p>
        </w:tc>
      </w:tr>
    </w:tbl>
    <w:p w14:paraId="7A858896" w14:textId="77777777" w:rsidR="004B32A0" w:rsidRPr="00E803FD" w:rsidRDefault="004B32A0" w:rsidP="004B32A0">
      <w:pPr>
        <w:sectPr w:rsidR="004B32A0" w:rsidRPr="00E803FD">
          <w:pgSz w:w="12240" w:h="15840"/>
          <w:pgMar w:top="1440" w:right="1440" w:bottom="1440" w:left="1440" w:header="720" w:footer="720" w:gutter="0"/>
          <w:pgNumType w:start="1"/>
          <w:cols w:space="720"/>
        </w:sectPr>
      </w:pPr>
    </w:p>
    <w:p w14:paraId="6FD5CE76" w14:textId="77777777" w:rsidR="004B32A0" w:rsidRPr="00E803FD" w:rsidRDefault="004B32A0" w:rsidP="004B32A0">
      <w:pPr>
        <w:pStyle w:val="Heading1"/>
      </w:pPr>
      <w:bookmarkStart w:id="5" w:name="_Toc203055683"/>
      <w:r w:rsidRPr="00E803FD">
        <w:rPr>
          <w:caps/>
        </w:rPr>
        <w:lastRenderedPageBreak/>
        <w:t>CERTIFICATION OF WORD COUNT</w:t>
      </w:r>
      <w:bookmarkEnd w:id="5"/>
    </w:p>
    <w:p w14:paraId="785E7B53" w14:textId="77777777" w:rsidR="004B32A0" w:rsidRPr="00E803FD" w:rsidRDefault="004B32A0" w:rsidP="004B32A0">
      <w:r w:rsidRPr="00E803FD">
        <w:t>I, [SIGNATORY], hereby certify pursuant to Local Rule 7.1(c) that the portions of this document that must be included in the word count contain ## words.</w:t>
      </w:r>
    </w:p>
    <w:p w14:paraId="5BAE2619" w14:textId="77777777" w:rsidR="004B32A0" w:rsidRPr="00E803FD" w:rsidRDefault="004B32A0" w:rsidP="004B32A0">
      <w:pPr>
        <w:ind w:firstLine="6570"/>
      </w:pPr>
    </w:p>
    <w:p w14:paraId="42F86C2B" w14:textId="77777777" w:rsidR="004B32A0" w:rsidRPr="00E803FD" w:rsidRDefault="004B32A0" w:rsidP="004B32A0">
      <w:pPr>
        <w:ind w:firstLine="6570"/>
        <w:rPr>
          <w:u w:val="single"/>
        </w:rPr>
      </w:pPr>
      <w:r w:rsidRPr="00E803FD">
        <w:rPr>
          <w:u w:val="single"/>
        </w:rPr>
        <w:t xml:space="preserve">/s/ </w:t>
      </w:r>
      <w:r w:rsidRPr="00E803FD">
        <w:rPr>
          <w:i/>
          <w:u w:val="single"/>
        </w:rPr>
        <w:t>[SIGNATURE]</w:t>
      </w:r>
    </w:p>
    <w:p w14:paraId="4F5A745A" w14:textId="77777777" w:rsidR="004B32A0" w:rsidRPr="00E803FD" w:rsidRDefault="004B32A0" w:rsidP="004B32A0">
      <w:pPr>
        <w:ind w:firstLine="6570"/>
      </w:pPr>
    </w:p>
    <w:p w14:paraId="652D9FBA" w14:textId="77777777" w:rsidR="000740EE" w:rsidRPr="00E803FD" w:rsidRDefault="000740EE" w:rsidP="000740EE"/>
    <w:p w14:paraId="22559344" w14:textId="77777777" w:rsidR="000740EE" w:rsidRPr="00E803FD" w:rsidRDefault="000740EE" w:rsidP="000740EE"/>
    <w:p w14:paraId="47FF525F" w14:textId="77777777" w:rsidR="00965358" w:rsidRPr="00E803FD" w:rsidRDefault="00965358"/>
    <w:sectPr w:rsidR="00965358" w:rsidRPr="00E803FD" w:rsidSect="00D7442F">
      <w:footerReference w:type="default" r:id="rId16"/>
      <w:headerReference w:type="firs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rginia Ryan" w:date="2025-09-19T10:41:00Z" w:initials="VR">
    <w:p w14:paraId="38E14AC2" w14:textId="5E9ADDA1" w:rsidR="00823760" w:rsidRDefault="00823760" w:rsidP="00823760">
      <w:pPr>
        <w:jc w:val="left"/>
      </w:pPr>
      <w:r>
        <w:rPr>
          <w:rStyle w:val="CommentReference"/>
        </w:rPr>
        <w:annotationRef/>
      </w:r>
      <w:r w:rsidR="00AB1C02">
        <w:rPr>
          <w:sz w:val="20"/>
          <w:szCs w:val="20"/>
        </w:rPr>
        <w:t xml:space="preserve">Verify </w:t>
      </w:r>
      <w:r w:rsidR="007D35D6">
        <w:rPr>
          <w:sz w:val="20"/>
          <w:szCs w:val="20"/>
        </w:rPr>
        <w:t xml:space="preserve">Respondents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E14A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22F0E4" w16cex:dateUtc="2025-09-19T14:41:00Z"/>
  <w16cex:commentExtensible w16cex:durableId="7CD8847E" w16cex:dateUtc="2025-09-26T14:34:00Z"/>
  <w16cex:commentExtensible w16cex:durableId="1A0C17A6" w16cex:dateUtc="2025-09-19T15:18:00Z"/>
  <w16cex:commentExtensible w16cex:durableId="0BBB2A47" w16cex:dateUtc="2025-09-19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E14AC2" w16cid:durableId="0822F0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4E739" w14:textId="77777777" w:rsidR="007C0DA4" w:rsidRDefault="007C0DA4" w:rsidP="000740EE">
      <w:r>
        <w:separator/>
      </w:r>
    </w:p>
  </w:endnote>
  <w:endnote w:type="continuationSeparator" w:id="0">
    <w:p w14:paraId="56E648C5" w14:textId="77777777" w:rsidR="007C0DA4" w:rsidRDefault="007C0DA4" w:rsidP="0007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1124647"/>
      <w:docPartObj>
        <w:docPartGallery w:val="Page Numbers (Bottom of Page)"/>
        <w:docPartUnique/>
      </w:docPartObj>
    </w:sdtPr>
    <w:sdtEndPr>
      <w:rPr>
        <w:rStyle w:val="PageNumber"/>
      </w:rPr>
    </w:sdtEndPr>
    <w:sdtContent>
      <w:p w14:paraId="4DD1E011" w14:textId="66CF83A8" w:rsidR="00FC73FB" w:rsidRDefault="00FC73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0132672"/>
      <w:docPartObj>
        <w:docPartGallery w:val="Page Numbers (Bottom of Page)"/>
        <w:docPartUnique/>
      </w:docPartObj>
    </w:sdtPr>
    <w:sdtEndPr>
      <w:rPr>
        <w:rStyle w:val="PageNumber"/>
      </w:rPr>
    </w:sdtEndPr>
    <w:sdtContent>
      <w:p w14:paraId="548734BF" w14:textId="200F448F" w:rsidR="00FC73FB" w:rsidRDefault="00FC73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FB08A3" w14:textId="77777777" w:rsidR="00FC73FB" w:rsidRDefault="00FC7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9552016"/>
      <w:docPartObj>
        <w:docPartGallery w:val="Page Numbers (Bottom of Page)"/>
        <w:docPartUnique/>
      </w:docPartObj>
    </w:sdtPr>
    <w:sdtEndPr>
      <w:rPr>
        <w:rStyle w:val="PageNumber"/>
      </w:rPr>
    </w:sdtEndPr>
    <w:sdtContent>
      <w:p w14:paraId="0E33B1CA" w14:textId="36BAA6AA" w:rsidR="00FC73FB" w:rsidRDefault="00FC73FB" w:rsidP="00FC73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B10C59" w14:textId="0644EE8B" w:rsidR="00FC73FB" w:rsidRDefault="00FC73FB" w:rsidP="00FC73FB">
    <w:pPr>
      <w:pStyle w:val="Footer"/>
      <w:tabs>
        <w:tab w:val="clear" w:pos="4680"/>
        <w:tab w:val="clear" w:pos="9360"/>
        <w:tab w:val="left" w:pos="551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225698"/>
      <w:docPartObj>
        <w:docPartGallery w:val="Page Numbers (Bottom of Page)"/>
        <w:docPartUnique/>
      </w:docPartObj>
    </w:sdtPr>
    <w:sdtEndPr>
      <w:rPr>
        <w:noProof/>
      </w:rPr>
    </w:sdtEndPr>
    <w:sdtContent>
      <w:p w14:paraId="5728CE76" w14:textId="77777777" w:rsidR="00D7442F" w:rsidRDefault="00D74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85669C" w14:textId="77777777" w:rsidR="00D7442F" w:rsidRDefault="00D74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609B9" w14:textId="77777777" w:rsidR="007C0DA4" w:rsidRDefault="007C0DA4" w:rsidP="00DF19F0">
      <w:pPr>
        <w:ind w:firstLine="0"/>
      </w:pPr>
      <w:r>
        <w:separator/>
      </w:r>
    </w:p>
  </w:footnote>
  <w:footnote w:type="continuationSeparator" w:id="0">
    <w:p w14:paraId="4157B27C" w14:textId="77777777" w:rsidR="007C0DA4" w:rsidRDefault="007C0DA4" w:rsidP="000740EE">
      <w:r>
        <w:continuationSeparator/>
      </w:r>
    </w:p>
  </w:footnote>
  <w:footnote w:id="1">
    <w:p w14:paraId="5C2E8C84" w14:textId="77777777" w:rsidR="00D7442F" w:rsidRDefault="00D7442F" w:rsidP="00DF19F0">
      <w:pPr>
        <w:pStyle w:val="FootnoteText"/>
        <w:spacing w:line="240" w:lineRule="auto"/>
        <w:ind w:firstLine="0"/>
        <w:rPr>
          <w:sz w:val="24"/>
          <w:szCs w:val="24"/>
        </w:rPr>
      </w:pPr>
      <w:r>
        <w:rPr>
          <w:rStyle w:val="FootnoteReference"/>
          <w:sz w:val="24"/>
          <w:szCs w:val="24"/>
        </w:rPr>
        <w:footnoteRef/>
      </w:r>
      <w:r>
        <w:rPr>
          <w:sz w:val="24"/>
          <w:szCs w:val="24"/>
        </w:rPr>
        <w:t xml:space="preserve"> </w:t>
      </w:r>
      <w:r w:rsidRPr="00E430E2">
        <w:rPr>
          <w:sz w:val="24"/>
          <w:szCs w:val="24"/>
          <w:highlight w:val="yellow"/>
        </w:rPr>
        <w:t>Make sure the footnotes are correct size if the judge specifies in their individual orders.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9D64" w14:textId="77777777" w:rsidR="00D7442F" w:rsidRDefault="00D7442F" w:rsidP="000740EE">
    <w:pPr>
      <w:pStyle w:val="Header"/>
      <w:jc w:val="center"/>
    </w:pPr>
    <w:r>
      <w:t>[**CONFIDENTIAL – NOT TO BE FILED ON THE PUBLIC DOCKET**]</w:t>
    </w:r>
  </w:p>
  <w:p w14:paraId="080ABF7A" w14:textId="77777777" w:rsidR="00D7442F" w:rsidRDefault="00D74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577"/>
    <w:multiLevelType w:val="hybridMultilevel"/>
    <w:tmpl w:val="4B263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A1D64"/>
    <w:multiLevelType w:val="hybridMultilevel"/>
    <w:tmpl w:val="EB8E4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B4AC9"/>
    <w:multiLevelType w:val="hybridMultilevel"/>
    <w:tmpl w:val="E63AC3A4"/>
    <w:lvl w:ilvl="0" w:tplc="7250EE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A0D71"/>
    <w:multiLevelType w:val="hybridMultilevel"/>
    <w:tmpl w:val="89F27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E3A0D"/>
    <w:multiLevelType w:val="hybridMultilevel"/>
    <w:tmpl w:val="E9B09288"/>
    <w:lvl w:ilvl="0" w:tplc="E27AE39A">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5453D"/>
    <w:multiLevelType w:val="hybridMultilevel"/>
    <w:tmpl w:val="03E256DE"/>
    <w:lvl w:ilvl="0" w:tplc="AC941E46">
      <w:start w:val="1"/>
      <w:numFmt w:val="upperLetter"/>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6A4086"/>
    <w:multiLevelType w:val="hybridMultilevel"/>
    <w:tmpl w:val="B3DC8038"/>
    <w:lvl w:ilvl="0" w:tplc="848EC34C">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6124AA"/>
    <w:multiLevelType w:val="hybridMultilevel"/>
    <w:tmpl w:val="552CF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10BE7"/>
    <w:multiLevelType w:val="hybridMultilevel"/>
    <w:tmpl w:val="F53A7690"/>
    <w:lvl w:ilvl="0" w:tplc="7C80A678">
      <w:start w:val="2"/>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E13301"/>
    <w:multiLevelType w:val="hybridMultilevel"/>
    <w:tmpl w:val="818EB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BF61ED"/>
    <w:multiLevelType w:val="hybridMultilevel"/>
    <w:tmpl w:val="C9789A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E633A"/>
    <w:multiLevelType w:val="hybridMultilevel"/>
    <w:tmpl w:val="E92A8FF8"/>
    <w:lvl w:ilvl="0" w:tplc="2E20E6D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0"/>
  </w:num>
  <w:num w:numId="7">
    <w:abstractNumId w:val="3"/>
  </w:num>
  <w:num w:numId="8">
    <w:abstractNumId w:val="8"/>
  </w:num>
  <w:num w:numId="9">
    <w:abstractNumId w:val="4"/>
  </w:num>
  <w:num w:numId="10">
    <w:abstractNumId w:val="1"/>
  </w:num>
  <w:num w:numId="11">
    <w:abstractNumId w:val="7"/>
  </w:num>
  <w:num w:numId="12">
    <w:abstractNumId w:val="1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rginia Ryan">
    <w15:presenceInfo w15:providerId="AD" w15:userId="S::vryan@lsnyc.org::27f47a87-47e9-4b82-8606-a28a2d999f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EE"/>
    <w:rsid w:val="0000764A"/>
    <w:rsid w:val="00010122"/>
    <w:rsid w:val="0007233A"/>
    <w:rsid w:val="000740EE"/>
    <w:rsid w:val="000A19D6"/>
    <w:rsid w:val="000E5681"/>
    <w:rsid w:val="000F47D2"/>
    <w:rsid w:val="00101D6D"/>
    <w:rsid w:val="00115C0E"/>
    <w:rsid w:val="001F1988"/>
    <w:rsid w:val="002110D4"/>
    <w:rsid w:val="00212031"/>
    <w:rsid w:val="0022309C"/>
    <w:rsid w:val="00224990"/>
    <w:rsid w:val="00263B7F"/>
    <w:rsid w:val="002705D2"/>
    <w:rsid w:val="002764BD"/>
    <w:rsid w:val="002A735B"/>
    <w:rsid w:val="003B1FCA"/>
    <w:rsid w:val="003F57E6"/>
    <w:rsid w:val="004031E0"/>
    <w:rsid w:val="00470952"/>
    <w:rsid w:val="004B32A0"/>
    <w:rsid w:val="004E5604"/>
    <w:rsid w:val="0057525A"/>
    <w:rsid w:val="00577BB2"/>
    <w:rsid w:val="005B3603"/>
    <w:rsid w:val="00612289"/>
    <w:rsid w:val="00676377"/>
    <w:rsid w:val="006A605E"/>
    <w:rsid w:val="006B1206"/>
    <w:rsid w:val="006C57BC"/>
    <w:rsid w:val="006D0917"/>
    <w:rsid w:val="00744E34"/>
    <w:rsid w:val="00756A25"/>
    <w:rsid w:val="007900D7"/>
    <w:rsid w:val="00795674"/>
    <w:rsid w:val="007C0DA4"/>
    <w:rsid w:val="007C3A1F"/>
    <w:rsid w:val="007D35D6"/>
    <w:rsid w:val="008139E5"/>
    <w:rsid w:val="00817A66"/>
    <w:rsid w:val="00823760"/>
    <w:rsid w:val="0082589A"/>
    <w:rsid w:val="008261A3"/>
    <w:rsid w:val="008663C5"/>
    <w:rsid w:val="008A2E16"/>
    <w:rsid w:val="00965358"/>
    <w:rsid w:val="00991C61"/>
    <w:rsid w:val="00992327"/>
    <w:rsid w:val="009F0A69"/>
    <w:rsid w:val="00A00250"/>
    <w:rsid w:val="00A240AF"/>
    <w:rsid w:val="00A35E0B"/>
    <w:rsid w:val="00A456A8"/>
    <w:rsid w:val="00A46930"/>
    <w:rsid w:val="00A73F96"/>
    <w:rsid w:val="00A83A18"/>
    <w:rsid w:val="00AA0CEE"/>
    <w:rsid w:val="00AB1C02"/>
    <w:rsid w:val="00AB3918"/>
    <w:rsid w:val="00AE29E7"/>
    <w:rsid w:val="00B15E07"/>
    <w:rsid w:val="00C3027E"/>
    <w:rsid w:val="00C5092A"/>
    <w:rsid w:val="00C628C3"/>
    <w:rsid w:val="00C7171D"/>
    <w:rsid w:val="00CD6F7C"/>
    <w:rsid w:val="00CF105B"/>
    <w:rsid w:val="00CF47C1"/>
    <w:rsid w:val="00D449B9"/>
    <w:rsid w:val="00D67677"/>
    <w:rsid w:val="00D7442F"/>
    <w:rsid w:val="00DB320D"/>
    <w:rsid w:val="00DB71BB"/>
    <w:rsid w:val="00DD061F"/>
    <w:rsid w:val="00DF19F0"/>
    <w:rsid w:val="00E07952"/>
    <w:rsid w:val="00E430E2"/>
    <w:rsid w:val="00E603B6"/>
    <w:rsid w:val="00E62BD8"/>
    <w:rsid w:val="00E803FD"/>
    <w:rsid w:val="00E9066E"/>
    <w:rsid w:val="00EB5334"/>
    <w:rsid w:val="00EC0E49"/>
    <w:rsid w:val="00ED3422"/>
    <w:rsid w:val="00ED6526"/>
    <w:rsid w:val="00F23415"/>
    <w:rsid w:val="00F37D78"/>
    <w:rsid w:val="00F7095A"/>
    <w:rsid w:val="00F80D84"/>
    <w:rsid w:val="00FA44FC"/>
    <w:rsid w:val="00FC73FB"/>
    <w:rsid w:val="06065DAF"/>
    <w:rsid w:val="15C266DF"/>
    <w:rsid w:val="19719CD9"/>
    <w:rsid w:val="23666342"/>
    <w:rsid w:val="28D2C4A1"/>
    <w:rsid w:val="29C666B1"/>
    <w:rsid w:val="33EF631E"/>
    <w:rsid w:val="40D57376"/>
    <w:rsid w:val="42196197"/>
    <w:rsid w:val="4B0BA4DB"/>
    <w:rsid w:val="4DD3DEF5"/>
    <w:rsid w:val="5EE0C9C5"/>
    <w:rsid w:val="607B7C2C"/>
    <w:rsid w:val="610293B5"/>
    <w:rsid w:val="702F65FA"/>
    <w:rsid w:val="7E90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F0B8"/>
  <w15:chartTrackingRefBased/>
  <w15:docId w15:val="{30A6CCAA-7B41-41D7-95F3-79C54419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3FB"/>
    <w:pPr>
      <w:spacing w:after="0" w:line="480" w:lineRule="auto"/>
      <w:ind w:firstLine="720"/>
      <w:jc w:val="both"/>
    </w:pPr>
    <w:rPr>
      <w:rFonts w:ascii="Times New Roman" w:eastAsia="Times New Roman" w:hAnsi="Times New Roman" w:cs="Times New Roman"/>
      <w:sz w:val="24"/>
      <w:szCs w:val="24"/>
    </w:rPr>
  </w:style>
  <w:style w:type="paragraph" w:styleId="Heading1">
    <w:name w:val="heading 1"/>
    <w:basedOn w:val="Normal"/>
    <w:next w:val="ListParagraph"/>
    <w:link w:val="Heading1Char"/>
    <w:uiPriority w:val="9"/>
    <w:qFormat/>
    <w:rsid w:val="00823760"/>
    <w:pPr>
      <w:spacing w:after="240" w:line="240" w:lineRule="auto"/>
      <w:ind w:firstLine="0"/>
      <w:jc w:val="center"/>
      <w:outlineLvl w:val="0"/>
    </w:pPr>
    <w:rPr>
      <w:b/>
      <w:u w:val="single"/>
    </w:rPr>
  </w:style>
  <w:style w:type="paragraph" w:styleId="Heading2">
    <w:name w:val="heading 2"/>
    <w:basedOn w:val="Normal"/>
    <w:next w:val="Normal"/>
    <w:link w:val="Heading2Char"/>
    <w:uiPriority w:val="9"/>
    <w:unhideWhenUsed/>
    <w:qFormat/>
    <w:rsid w:val="0057525A"/>
    <w:pPr>
      <w:keepNext/>
      <w:keepLines/>
      <w:numPr>
        <w:numId w:val="9"/>
      </w:numPr>
      <w:spacing w:after="240" w:line="240" w:lineRule="auto"/>
      <w:outlineLvl w:val="1"/>
    </w:pPr>
    <w:rPr>
      <w:rFonts w:eastAsiaTheme="majorEastAsia"/>
      <w:b/>
      <w:u w:val="single"/>
    </w:rPr>
  </w:style>
  <w:style w:type="paragraph" w:styleId="Heading3">
    <w:name w:val="heading 3"/>
    <w:basedOn w:val="Normal"/>
    <w:next w:val="Normal"/>
    <w:link w:val="Heading3Char"/>
    <w:uiPriority w:val="9"/>
    <w:unhideWhenUsed/>
    <w:qFormat/>
    <w:rsid w:val="00A240AF"/>
    <w:pPr>
      <w:keepNext/>
      <w:keepLines/>
      <w:numPr>
        <w:numId w:val="13"/>
      </w:numPr>
      <w:spacing w:after="240" w:line="240" w:lineRule="auto"/>
      <w:ind w:left="1800"/>
      <w:outlineLvl w:val="2"/>
    </w:pPr>
    <w:rPr>
      <w:rFonts w:eastAsiaTheme="majorEastAsia"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760"/>
    <w:rPr>
      <w:rFonts w:ascii="Times New Roman" w:eastAsia="Times New Roman" w:hAnsi="Times New Roman" w:cs="Times New Roman"/>
      <w:b/>
      <w:sz w:val="24"/>
      <w:szCs w:val="24"/>
      <w:u w:val="single"/>
    </w:rPr>
  </w:style>
  <w:style w:type="table" w:styleId="TableGrid">
    <w:name w:val="Table Grid"/>
    <w:basedOn w:val="TableNormal"/>
    <w:uiPriority w:val="39"/>
    <w:rsid w:val="0007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0EE"/>
    <w:pPr>
      <w:numPr>
        <w:numId w:val="1"/>
      </w:numPr>
      <w:contextualSpacing/>
    </w:pPr>
  </w:style>
  <w:style w:type="paragraph" w:styleId="Footer">
    <w:name w:val="footer"/>
    <w:basedOn w:val="Normal"/>
    <w:link w:val="FooterChar"/>
    <w:uiPriority w:val="99"/>
    <w:unhideWhenUsed/>
    <w:rsid w:val="000740EE"/>
    <w:pPr>
      <w:tabs>
        <w:tab w:val="center" w:pos="4680"/>
        <w:tab w:val="right" w:pos="9360"/>
      </w:tabs>
    </w:pPr>
  </w:style>
  <w:style w:type="character" w:customStyle="1" w:styleId="FooterChar">
    <w:name w:val="Footer Char"/>
    <w:basedOn w:val="DefaultParagraphFont"/>
    <w:link w:val="Footer"/>
    <w:uiPriority w:val="99"/>
    <w:rsid w:val="000740E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7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40EE"/>
    <w:pPr>
      <w:tabs>
        <w:tab w:val="center" w:pos="4680"/>
        <w:tab w:val="right" w:pos="9360"/>
      </w:tabs>
    </w:pPr>
  </w:style>
  <w:style w:type="character" w:customStyle="1" w:styleId="HeaderChar">
    <w:name w:val="Header Char"/>
    <w:basedOn w:val="DefaultParagraphFont"/>
    <w:link w:val="Header"/>
    <w:uiPriority w:val="99"/>
    <w:rsid w:val="000740E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25A"/>
    <w:rPr>
      <w:rFonts w:ascii="Times New Roman" w:eastAsiaTheme="majorEastAsia" w:hAnsi="Times New Roman" w:cs="Times New Roman"/>
      <w:b/>
      <w:sz w:val="24"/>
      <w:szCs w:val="24"/>
      <w:u w:val="single"/>
    </w:rPr>
  </w:style>
  <w:style w:type="character" w:customStyle="1" w:styleId="Heading3Char">
    <w:name w:val="Heading 3 Char"/>
    <w:basedOn w:val="DefaultParagraphFont"/>
    <w:link w:val="Heading3"/>
    <w:uiPriority w:val="9"/>
    <w:rsid w:val="00A240AF"/>
    <w:rPr>
      <w:rFonts w:ascii="Times New Roman" w:eastAsiaTheme="majorEastAsia" w:hAnsi="Times New Roman" w:cstheme="majorBidi"/>
      <w:b/>
      <w:i/>
      <w:color w:val="000000" w:themeColor="text1"/>
      <w:sz w:val="24"/>
      <w:szCs w:val="24"/>
    </w:rPr>
  </w:style>
  <w:style w:type="paragraph" w:styleId="FootnoteText">
    <w:name w:val="footnote text"/>
    <w:basedOn w:val="Normal"/>
    <w:link w:val="FootnoteTextChar"/>
    <w:uiPriority w:val="99"/>
    <w:semiHidden/>
    <w:unhideWhenUsed/>
    <w:rsid w:val="004B32A0"/>
    <w:rPr>
      <w:rFonts w:eastAsiaTheme="minorHAnsi"/>
      <w:sz w:val="20"/>
      <w:szCs w:val="20"/>
    </w:rPr>
  </w:style>
  <w:style w:type="character" w:customStyle="1" w:styleId="FootnoteTextChar">
    <w:name w:val="Footnote Text Char"/>
    <w:basedOn w:val="DefaultParagraphFont"/>
    <w:link w:val="FootnoteText"/>
    <w:uiPriority w:val="99"/>
    <w:semiHidden/>
    <w:rsid w:val="004B32A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B32A0"/>
    <w:rPr>
      <w:vertAlign w:val="superscript"/>
    </w:rPr>
  </w:style>
  <w:style w:type="paragraph" w:styleId="NormalWeb">
    <w:name w:val="Normal (Web)"/>
    <w:basedOn w:val="Normal"/>
    <w:uiPriority w:val="99"/>
    <w:semiHidden/>
    <w:unhideWhenUsed/>
    <w:rsid w:val="00F37D78"/>
    <w:pPr>
      <w:spacing w:before="100" w:beforeAutospacing="1" w:after="100" w:afterAutospacing="1"/>
    </w:pPr>
  </w:style>
  <w:style w:type="character" w:styleId="CommentReference">
    <w:name w:val="annotation reference"/>
    <w:basedOn w:val="DefaultParagraphFont"/>
    <w:uiPriority w:val="99"/>
    <w:semiHidden/>
    <w:unhideWhenUsed/>
    <w:rsid w:val="00FA44FC"/>
    <w:rPr>
      <w:sz w:val="16"/>
      <w:szCs w:val="16"/>
    </w:rPr>
  </w:style>
  <w:style w:type="character" w:styleId="Hyperlink">
    <w:name w:val="Hyperlink"/>
    <w:basedOn w:val="DefaultParagraphFont"/>
    <w:uiPriority w:val="99"/>
    <w:semiHidden/>
    <w:unhideWhenUsed/>
    <w:rsid w:val="002705D2"/>
    <w:rPr>
      <w:color w:val="0000FF"/>
      <w:u w:val="single"/>
    </w:rPr>
  </w:style>
  <w:style w:type="character" w:customStyle="1" w:styleId="ssit">
    <w:name w:val="ss_it"/>
    <w:basedOn w:val="DefaultParagraphFont"/>
    <w:rsid w:val="002705D2"/>
  </w:style>
  <w:style w:type="character" w:customStyle="1" w:styleId="acb">
    <w:name w:val="acb"/>
    <w:basedOn w:val="DefaultParagraphFont"/>
    <w:rsid w:val="002705D2"/>
  </w:style>
  <w:style w:type="paragraph" w:customStyle="1" w:styleId="20sp05">
    <w:name w:val="_2.0sp 0.5&quot;"/>
    <w:basedOn w:val="Normal"/>
    <w:rsid w:val="00DB320D"/>
    <w:pPr>
      <w:suppressAutoHyphens/>
    </w:pPr>
    <w:rPr>
      <w:sz w:val="20"/>
      <w:szCs w:val="20"/>
    </w:rPr>
  </w:style>
  <w:style w:type="paragraph" w:customStyle="1" w:styleId="20sp0">
    <w:name w:val="_2.0sp 0&quot;"/>
    <w:basedOn w:val="Normal"/>
    <w:rsid w:val="00DB320D"/>
    <w:pPr>
      <w:suppressAutoHyphens/>
    </w:pPr>
    <w:rPr>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F5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7E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23760"/>
    <w:rPr>
      <w:b/>
      <w:bCs/>
    </w:rPr>
  </w:style>
  <w:style w:type="character" w:customStyle="1" w:styleId="CommentSubjectChar">
    <w:name w:val="Comment Subject Char"/>
    <w:basedOn w:val="CommentTextChar"/>
    <w:link w:val="CommentSubject"/>
    <w:uiPriority w:val="99"/>
    <w:semiHidden/>
    <w:rsid w:val="00823760"/>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FC7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907391">
      <w:bodyDiv w:val="1"/>
      <w:marLeft w:val="0"/>
      <w:marRight w:val="0"/>
      <w:marTop w:val="0"/>
      <w:marBottom w:val="0"/>
      <w:divBdr>
        <w:top w:val="none" w:sz="0" w:space="0" w:color="auto"/>
        <w:left w:val="none" w:sz="0" w:space="0" w:color="auto"/>
        <w:bottom w:val="none" w:sz="0" w:space="0" w:color="auto"/>
        <w:right w:val="none" w:sz="0" w:space="0" w:color="auto"/>
      </w:divBdr>
    </w:div>
    <w:div w:id="1549565442">
      <w:bodyDiv w:val="1"/>
      <w:marLeft w:val="0"/>
      <w:marRight w:val="0"/>
      <w:marTop w:val="0"/>
      <w:marBottom w:val="0"/>
      <w:divBdr>
        <w:top w:val="none" w:sz="0" w:space="0" w:color="auto"/>
        <w:left w:val="none" w:sz="0" w:space="0" w:color="auto"/>
        <w:bottom w:val="none" w:sz="0" w:space="0" w:color="auto"/>
        <w:right w:val="none" w:sz="0" w:space="0" w:color="auto"/>
      </w:divBdr>
    </w:div>
    <w:div w:id="20255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9038DE3439314980ACAE3219888476" ma:contentTypeVersion="17" ma:contentTypeDescription="Create a new document." ma:contentTypeScope="" ma:versionID="51847aeb54bd5a73a51aad96fcb8c14e">
  <xsd:schema xmlns:xsd="http://www.w3.org/2001/XMLSchema" xmlns:xs="http://www.w3.org/2001/XMLSchema" xmlns:p="http://schemas.microsoft.com/office/2006/metadata/properties" xmlns:ns3="193cf802-d895-416e-9fbc-6ef1b9459663" xmlns:ns4="0a03a67c-0b10-4463-a02b-572a34785f4d" targetNamespace="http://schemas.microsoft.com/office/2006/metadata/properties" ma:root="true" ma:fieldsID="890b9acba066c54cd18888d0349a1fc8" ns3:_="" ns4:_="">
    <xsd:import namespace="193cf802-d895-416e-9fbc-6ef1b9459663"/>
    <xsd:import namespace="0a03a67c-0b10-4463-a02b-572a34785f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f802-d895-416e-9fbc-6ef1b9459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03a67c-0b10-4463-a02b-572a34785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93cf802-d895-416e-9fbc-6ef1b94596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8DF31-A2F3-4077-9D23-FDC34B8450E0}">
  <ds:schemaRefs>
    <ds:schemaRef ds:uri="http://schemas.microsoft.com/sharepoint/v3/contenttype/forms"/>
  </ds:schemaRefs>
</ds:datastoreItem>
</file>

<file path=customXml/itemProps2.xml><?xml version="1.0" encoding="utf-8"?>
<ds:datastoreItem xmlns:ds="http://schemas.openxmlformats.org/officeDocument/2006/customXml" ds:itemID="{922DC383-EEAE-483C-A20B-D7186D420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f802-d895-416e-9fbc-6ef1b9459663"/>
    <ds:schemaRef ds:uri="0a03a67c-0b10-4463-a02b-572a3478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C97B1-130A-4A17-9CFD-234BD504EC8E}">
  <ds:schemaRef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0a03a67c-0b10-4463-a02b-572a34785f4d"/>
    <ds:schemaRef ds:uri="193cf802-d895-416e-9fbc-6ef1b9459663"/>
    <ds:schemaRef ds:uri="http://purl.org/dc/elements/1.1/"/>
  </ds:schemaRefs>
</ds:datastoreItem>
</file>

<file path=customXml/itemProps4.xml><?xml version="1.0" encoding="utf-8"?>
<ds:datastoreItem xmlns:ds="http://schemas.openxmlformats.org/officeDocument/2006/customXml" ds:itemID="{57A32782-B4EE-4EA8-B1A0-704A8049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Banks</dc:creator>
  <cp:keywords/>
  <dc:description/>
  <cp:lastModifiedBy>Melissa Banks</cp:lastModifiedBy>
  <cp:revision>4</cp:revision>
  <dcterms:created xsi:type="dcterms:W3CDTF">2025-10-31T16:28:00Z</dcterms:created>
  <dcterms:modified xsi:type="dcterms:W3CDTF">2025-10-31T16:39:00Z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0x010100929038DE3439314980ACAE3219888476</vt:lpwstr>
  </property>
</Properties>
</file>