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D27B6" w14:textId="77777777" w:rsidR="002E07B9" w:rsidRDefault="002E07B9" w:rsidP="002E07B9">
      <w:pPr>
        <w:pStyle w:val="PFEText"/>
        <w:tabs>
          <w:tab w:val="left" w:pos="270"/>
        </w:tabs>
        <w:spacing w:before="20"/>
        <w:ind w:left="-994"/>
        <w:rPr>
          <w:caps/>
          <w:sz w:val="12"/>
        </w:rPr>
      </w:pPr>
      <w:r>
        <w:rPr>
          <w:caps/>
          <w:sz w:val="12"/>
        </w:rPr>
        <w:t>Direct dial</w:t>
      </w:r>
    </w:p>
    <w:p w14:paraId="18A956DF" w14:textId="77777777" w:rsidR="002E07B9" w:rsidRDefault="005E4AC8" w:rsidP="005E4AC8">
      <w:pPr>
        <w:pStyle w:val="PFEText"/>
        <w:ind w:left="-1260" w:firstLine="266"/>
      </w:pPr>
      <w:r>
        <w:t>X</w:t>
      </w:r>
    </w:p>
    <w:p w14:paraId="3376761D" w14:textId="77777777" w:rsidR="002E07B9" w:rsidRDefault="002E07B9" w:rsidP="002E07B9">
      <w:pPr>
        <w:pStyle w:val="PFEText"/>
        <w:tabs>
          <w:tab w:val="left" w:pos="270"/>
        </w:tabs>
        <w:spacing w:before="20"/>
        <w:ind w:left="-994"/>
        <w:rPr>
          <w:sz w:val="12"/>
        </w:rPr>
      </w:pPr>
      <w:r>
        <w:rPr>
          <w:sz w:val="12"/>
        </w:rPr>
        <w:t>DIRECT FAX</w:t>
      </w:r>
    </w:p>
    <w:p w14:paraId="629E0CDA" w14:textId="77777777" w:rsidR="002E07B9" w:rsidRDefault="005E4AC8" w:rsidP="005E4AC8">
      <w:pPr>
        <w:pStyle w:val="PFEText"/>
        <w:ind w:left="-1260" w:firstLine="266"/>
      </w:pPr>
      <w:r>
        <w:t>X</w:t>
      </w:r>
    </w:p>
    <w:p w14:paraId="645FEAA0" w14:textId="77777777" w:rsidR="002E07B9" w:rsidRDefault="002E07B9" w:rsidP="002E07B9">
      <w:pPr>
        <w:pStyle w:val="PFEText"/>
        <w:tabs>
          <w:tab w:val="left" w:pos="270"/>
        </w:tabs>
        <w:spacing w:before="20"/>
        <w:ind w:left="-994"/>
        <w:rPr>
          <w:sz w:val="12"/>
        </w:rPr>
      </w:pPr>
      <w:r>
        <w:rPr>
          <w:sz w:val="12"/>
        </w:rPr>
        <w:t>EMAIL ADDRESS</w:t>
      </w:r>
    </w:p>
    <w:p w14:paraId="4EB8D763" w14:textId="77777777" w:rsidR="002E07B9" w:rsidRDefault="005E4AC8" w:rsidP="002E07B9">
      <w:pPr>
        <w:pStyle w:val="PFEText"/>
        <w:ind w:left="-1260"/>
      </w:pPr>
      <w:r>
        <w:t xml:space="preserve">      X</w:t>
      </w:r>
    </w:p>
    <w:p w14:paraId="242BD3F2" w14:textId="77777777" w:rsidR="002E07B9" w:rsidRPr="006F03E6" w:rsidRDefault="005E4AC8" w:rsidP="006F03E6">
      <w:pPr>
        <w:pStyle w:val="Date"/>
        <w:spacing w:before="720" w:after="1460"/>
        <w:ind w:left="4320"/>
      </w:pPr>
      <w:r>
        <w:t>X</w:t>
      </w:r>
    </w:p>
    <w:tbl>
      <w:tblPr>
        <w:tblW w:w="0" w:type="auto"/>
        <w:tblLook w:val="0000" w:firstRow="0" w:lastRow="0" w:firstColumn="0" w:lastColumn="0" w:noHBand="0" w:noVBand="0"/>
      </w:tblPr>
      <w:tblGrid>
        <w:gridCol w:w="4788"/>
      </w:tblGrid>
      <w:tr w:rsidR="006F03E6" w14:paraId="299BA00B" w14:textId="77777777" w:rsidTr="008651E4">
        <w:tc>
          <w:tcPr>
            <w:tcW w:w="4788" w:type="dxa"/>
          </w:tcPr>
          <w:p w14:paraId="406EC2BB" w14:textId="77777777" w:rsidR="006F03E6" w:rsidRDefault="006F03E6" w:rsidP="00EA0858">
            <w:pPr>
              <w:pStyle w:val="InsideAddress"/>
            </w:pPr>
            <w:r>
              <w:t>Department of Homeland Security</w:t>
            </w:r>
          </w:p>
          <w:p w14:paraId="74315546" w14:textId="77777777" w:rsidR="006F03E6" w:rsidRDefault="006F03E6" w:rsidP="00EA0858">
            <w:pPr>
              <w:pStyle w:val="InsideAddress"/>
            </w:pPr>
            <w:r>
              <w:t>United States Citizenship and Immigration Services</w:t>
            </w:r>
          </w:p>
          <w:p w14:paraId="23A15A5D" w14:textId="77777777" w:rsidR="006F03E6" w:rsidRDefault="006F03E6" w:rsidP="00EA0858">
            <w:pPr>
              <w:pStyle w:val="InsideAddress"/>
            </w:pPr>
            <w:r>
              <w:t>1200 Wall Street West, Fourth Floor</w:t>
            </w:r>
          </w:p>
          <w:p w14:paraId="0014660D" w14:textId="77777777" w:rsidR="006F03E6" w:rsidRDefault="006F03E6" w:rsidP="00EA0858">
            <w:pPr>
              <w:pStyle w:val="InsideAddress"/>
            </w:pPr>
            <w:r>
              <w:t>Lyndhurst, NJ  07071</w:t>
            </w:r>
          </w:p>
        </w:tc>
      </w:tr>
    </w:tbl>
    <w:p w14:paraId="52579CFD" w14:textId="5058B757" w:rsidR="002E07B9" w:rsidRPr="006F03E6" w:rsidRDefault="006F03E6" w:rsidP="002E07B9">
      <w:pPr>
        <w:pStyle w:val="ReferenceLine"/>
        <w:tabs>
          <w:tab w:val="clear" w:pos="8194"/>
          <w:tab w:val="left" w:pos="8280"/>
        </w:tabs>
        <w:ind w:right="-72"/>
        <w:rPr>
          <w:u w:val="single"/>
        </w:rPr>
      </w:pPr>
      <w:r>
        <w:t>RE:</w:t>
      </w:r>
      <w:r>
        <w:tab/>
        <w:t xml:space="preserve">Application for Asylum and for Withholding </w:t>
      </w:r>
      <w:r w:rsidR="003947C6">
        <w:br/>
      </w:r>
      <w:r>
        <w:t xml:space="preserve">of Removal of </w:t>
      </w:r>
      <w:r w:rsidR="00186BE6">
        <w:t>X</w:t>
      </w:r>
      <w:proofErr w:type="gramStart"/>
      <w:r>
        <w:t>,</w:t>
      </w:r>
      <w:proofErr w:type="gramEnd"/>
      <w:r w:rsidR="003947C6">
        <w:br/>
      </w:r>
      <w:r w:rsidR="006E17CD">
        <w:rPr>
          <w:u w:val="single"/>
        </w:rPr>
        <w:t xml:space="preserve">A# </w:t>
      </w:r>
      <w:r w:rsidR="00186BE6">
        <w:rPr>
          <w:u w:val="single"/>
        </w:rPr>
        <w:t>123-456-789</w:t>
      </w:r>
      <w:r>
        <w:rPr>
          <w:u w:val="single"/>
        </w:rPr>
        <w:tab/>
      </w:r>
    </w:p>
    <w:p w14:paraId="062E78F8" w14:textId="77777777" w:rsidR="002E07B9" w:rsidRDefault="006F03E6" w:rsidP="002E07B9">
      <w:pPr>
        <w:pStyle w:val="Salutation"/>
      </w:pPr>
      <w:r>
        <w:t>Dear Sir or Madam:</w:t>
      </w:r>
    </w:p>
    <w:p w14:paraId="3FE37A84" w14:textId="77777777" w:rsidR="00C75FCE" w:rsidRDefault="006F03E6" w:rsidP="00C75FCE">
      <w:pPr>
        <w:pStyle w:val="SinglePara"/>
      </w:pPr>
      <w:r>
        <w:t xml:space="preserve">On behalf of </w:t>
      </w:r>
      <w:r w:rsidR="003947C6">
        <w:t>our</w:t>
      </w:r>
      <w:r>
        <w:t xml:space="preserve"> </w:t>
      </w:r>
      <w:r w:rsidR="00020F1D" w:rsidRPr="00020F1D">
        <w:rPr>
          <w:i/>
        </w:rPr>
        <w:t>pro bono</w:t>
      </w:r>
      <w:r w:rsidR="00020F1D">
        <w:t xml:space="preserve"> </w:t>
      </w:r>
      <w:r>
        <w:t xml:space="preserve">client, </w:t>
      </w:r>
      <w:r w:rsidR="00656E14">
        <w:t>X</w:t>
      </w:r>
      <w:r>
        <w:t xml:space="preserve">, </w:t>
      </w:r>
      <w:r w:rsidR="003947C6">
        <w:t>we</w:t>
      </w:r>
      <w:r>
        <w:t xml:space="preserve"> write to submit additional suppl</w:t>
      </w:r>
      <w:r>
        <w:t>e</w:t>
      </w:r>
      <w:r>
        <w:t xml:space="preserve">mental materials in support of Mr. </w:t>
      </w:r>
      <w:r w:rsidR="00656E14">
        <w:t>X</w:t>
      </w:r>
      <w:r>
        <w:t xml:space="preserve">’s application for asylum and for withholding of removal.  Mr. </w:t>
      </w:r>
      <w:r w:rsidR="00656E14">
        <w:t xml:space="preserve">X </w:t>
      </w:r>
      <w:r>
        <w:t>submitted his application for asylum and withholding of removal on Form I-589 on</w:t>
      </w:r>
      <w:r w:rsidR="00656E14">
        <w:t xml:space="preserve"> X</w:t>
      </w:r>
      <w:r>
        <w:t>, and your office scheduled his interview for</w:t>
      </w:r>
      <w:r w:rsidR="00656E14">
        <w:t xml:space="preserve"> X</w:t>
      </w:r>
      <w:r>
        <w:t xml:space="preserve">.  This letter brief, and the materials submitted herewith, demonstrate that Mr. </w:t>
      </w:r>
      <w:r w:rsidR="00AA6E46">
        <w:t>X</w:t>
      </w:r>
      <w:r>
        <w:t xml:space="preserve"> is eligible for asylum as a gay man who was persecuted in his home countries of Belarus and Russia b</w:t>
      </w:r>
      <w:r>
        <w:t>e</w:t>
      </w:r>
      <w:r>
        <w:t>cause he is gay, and who has a well-founded fear of further persecution for that same reason if he were forced to return to Belarus or Russia.</w:t>
      </w:r>
    </w:p>
    <w:p w14:paraId="14DFEB2E" w14:textId="77777777" w:rsidR="00B67BF9" w:rsidRDefault="00C75FCE" w:rsidP="00C75FCE">
      <w:pPr>
        <w:pStyle w:val="SinglePara"/>
      </w:pPr>
      <w:r>
        <w:t>It has long been dangerous for gay men to be open about their sexual ident</w:t>
      </w:r>
      <w:r>
        <w:t>i</w:t>
      </w:r>
      <w:r>
        <w:t>ties in Belarus and Russia.  For years, gay men have been persecuted, tortured, bea</w:t>
      </w:r>
      <w:r>
        <w:t>t</w:t>
      </w:r>
      <w:r>
        <w:t>en and killed in these two countries because they are gay, and for years, the police have done little to protect gay men from such violence; indeed, the police often pa</w:t>
      </w:r>
      <w:r>
        <w:t>r</w:t>
      </w:r>
      <w:r>
        <w:t>ticipate in violence against gay men.  But the level of violence, including state-sanctioned violence, against gay men in Belarus and Russia has escalated significan</w:t>
      </w:r>
      <w:r>
        <w:t>t</w:t>
      </w:r>
      <w:r>
        <w:t>ly since the enactment, in June 2013, of provisions of the Russian Code of Admini</w:t>
      </w:r>
      <w:r>
        <w:t>s</w:t>
      </w:r>
      <w:r>
        <w:t>trative Offenses that criminalize the “promotion of non-traditional sexual relations among minors,” and, in May 2016, of the Belarusian l</w:t>
      </w:r>
      <w:r w:rsidRPr="00462D1E">
        <w:t>aw “On the Protection of Chi</w:t>
      </w:r>
      <w:r w:rsidRPr="00462D1E">
        <w:t>l</w:t>
      </w:r>
      <w:r w:rsidRPr="00462D1E">
        <w:lastRenderedPageBreak/>
        <w:t>dren from</w:t>
      </w:r>
      <w:r w:rsidRPr="001D4F41">
        <w:t xml:space="preserve"> Information Harmful to their Health and Development</w:t>
      </w:r>
      <w:r>
        <w:t>” that, like the Ru</w:t>
      </w:r>
      <w:r>
        <w:t>s</w:t>
      </w:r>
      <w:r>
        <w:t>sian law on which it was</w:t>
      </w:r>
      <w:r w:rsidRPr="001D4F41">
        <w:t xml:space="preserve"> largely modeled</w:t>
      </w:r>
      <w:r>
        <w:t>, criminalizes support for gay rights in Be</w:t>
      </w:r>
      <w:r>
        <w:t>l</w:t>
      </w:r>
      <w:r>
        <w:t xml:space="preserve">arus.  </w:t>
      </w:r>
    </w:p>
    <w:p w14:paraId="6D4DF34A" w14:textId="77777777" w:rsidR="00C75FCE" w:rsidRDefault="00C75FCE" w:rsidP="00C75FCE">
      <w:pPr>
        <w:pStyle w:val="SinglePara"/>
      </w:pPr>
      <w:r>
        <w:t>These “gay propaganda</w:t>
      </w:r>
      <w:r w:rsidR="00B67BF9">
        <w:t>”</w:t>
      </w:r>
      <w:r>
        <w:t xml:space="preserve"> laws have been used by prosecutors, police, public ministers and private citizens in Russia and in Belarus as a license to persecute, to</w:t>
      </w:r>
      <w:r>
        <w:t>r</w:t>
      </w:r>
      <w:r>
        <w:t>ture, beat and even kill gay men without fear of serious consequences for the perp</w:t>
      </w:r>
      <w:r>
        <w:t>e</w:t>
      </w:r>
      <w:r>
        <w:t>trators.</w:t>
      </w:r>
      <w:r w:rsidR="00B67BF9">
        <w:t xml:space="preserve">  </w:t>
      </w:r>
      <w:r>
        <w:t xml:space="preserve">The laws have permitted the terrifying creation of an Internet website that allows people to upload the photographs of men they accuse of being gay, together with the men’s addresses and other personal </w:t>
      </w:r>
      <w:r w:rsidR="00AF190D">
        <w:t xml:space="preserve">identifying </w:t>
      </w:r>
      <w:r>
        <w:t xml:space="preserve">information, and encourages others to hunt these men down </w:t>
      </w:r>
      <w:r w:rsidR="00AF190D">
        <w:t>to</w:t>
      </w:r>
      <w:r>
        <w:t xml:space="preserve"> attack them.  </w:t>
      </w:r>
      <w:r w:rsidR="00AF190D">
        <w:t xml:space="preserve">Further, </w:t>
      </w:r>
      <w:r>
        <w:t>the</w:t>
      </w:r>
      <w:r w:rsidR="00AF190D">
        <w:t xml:space="preserve"> gay propaganda laws</w:t>
      </w:r>
      <w:r>
        <w:t xml:space="preserve"> have emboldened radical anti-gay groups like “Occupy Pedophilia” </w:t>
      </w:r>
      <w:r w:rsidR="00B67BF9">
        <w:t>to act with i</w:t>
      </w:r>
      <w:r w:rsidR="00B67BF9">
        <w:t>m</w:t>
      </w:r>
      <w:r w:rsidR="00B67BF9">
        <w:t xml:space="preserve">punity to </w:t>
      </w:r>
      <w:r>
        <w:t xml:space="preserve">lure gay men to meet </w:t>
      </w:r>
      <w:r w:rsidR="00AF190D">
        <w:t>group members</w:t>
      </w:r>
      <w:r w:rsidR="00B67BF9">
        <w:t xml:space="preserve"> on gay dating sites</w:t>
      </w:r>
      <w:r>
        <w:t>, only to be ha</w:t>
      </w:r>
      <w:r>
        <w:t>r</w:t>
      </w:r>
      <w:r>
        <w:t>assed, beaten and extorted when they arrive at the date.</w:t>
      </w:r>
    </w:p>
    <w:p w14:paraId="627B44D5" w14:textId="1414AAD0" w:rsidR="00B67BF9" w:rsidRDefault="00C75FCE" w:rsidP="00C75FCE">
      <w:pPr>
        <w:pStyle w:val="SinglePara"/>
      </w:pPr>
      <w:r>
        <w:t>As a gay man</w:t>
      </w:r>
      <w:r w:rsidR="00B67BF9">
        <w:t xml:space="preserve"> in Russia</w:t>
      </w:r>
      <w:r>
        <w:t xml:space="preserve">, Mr. </w:t>
      </w:r>
      <w:r w:rsidR="00210068">
        <w:t xml:space="preserve">X </w:t>
      </w:r>
      <w:r>
        <w:t>felt first-hand the terrible impact of the gay propaganda laws.  As described</w:t>
      </w:r>
      <w:r w:rsidR="00BC2F39">
        <w:t xml:space="preserve"> in</w:t>
      </w:r>
      <w:r>
        <w:t xml:space="preserve"> more detail below and in Mr.</w:t>
      </w:r>
      <w:r w:rsidR="00210068">
        <w:t xml:space="preserve"> X</w:t>
      </w:r>
      <w:r>
        <w:t xml:space="preserve">’s declaration, he </w:t>
      </w:r>
      <w:r w:rsidR="00B67BF9">
        <w:t>w</w:t>
      </w:r>
      <w:r>
        <w:t xml:space="preserve">as targeted for violent beatings, his apartment </w:t>
      </w:r>
      <w:r w:rsidR="00B67BF9">
        <w:t>w</w:t>
      </w:r>
      <w:r>
        <w:t xml:space="preserve">as vandalized, he </w:t>
      </w:r>
      <w:r w:rsidR="00B67BF9">
        <w:t>w</w:t>
      </w:r>
      <w:r>
        <w:t>as detained, harassed and ridiculed by the police without being charged with an offense, and r</w:t>
      </w:r>
      <w:r>
        <w:t>e</w:t>
      </w:r>
      <w:r>
        <w:t xml:space="preserve">ceived death threats on his telephone and </w:t>
      </w:r>
      <w:r w:rsidR="00B67BF9">
        <w:t>social media</w:t>
      </w:r>
      <w:r>
        <w:t xml:space="preserve"> accounts</w:t>
      </w:r>
      <w:r w:rsidR="00BC2F39">
        <w:t>, all because he is gay</w:t>
      </w:r>
      <w:r>
        <w:t xml:space="preserve">.  </w:t>
      </w:r>
      <w:r w:rsidR="00AF190D">
        <w:t>S</w:t>
      </w:r>
      <w:r w:rsidR="00210068">
        <w:t>ince X</w:t>
      </w:r>
      <w:r>
        <w:t xml:space="preserve">, </w:t>
      </w:r>
      <w:r w:rsidR="00B67BF9">
        <w:t>when</w:t>
      </w:r>
      <w:r w:rsidR="00AF190D">
        <w:t xml:space="preserve"> his picture appeared on the i</w:t>
      </w:r>
      <w:r>
        <w:t>nternet and in social media accounts as a participant in rallies and demonstrations linked to pro-LGBT advocacy, the number and intensity of these violent attacks and threats increased.  He was attacked and beaten outside his apartment in</w:t>
      </w:r>
      <w:r w:rsidR="006D692A">
        <w:t xml:space="preserve"> X</w:t>
      </w:r>
      <w:r>
        <w:t>.  Anonymous messages, directed specifically at him through his telephone and social media accounts, made threats like “we soon will come and kill you fags—prepare yourselves” and “how did you sleep you fa</w:t>
      </w:r>
      <w:r>
        <w:t>g</w:t>
      </w:r>
      <w:r>
        <w:t xml:space="preserve">got, it’s only the beginning—we are going to find you and cut your ass in pieces.”  </w:t>
      </w:r>
      <w:r w:rsidR="00B67BF9">
        <w:t>When he</w:t>
      </w:r>
      <w:r>
        <w:t xml:space="preserve"> tried to convince the police to investigate the threats and to protect </w:t>
      </w:r>
      <w:r w:rsidR="00B67BF9">
        <w:t>hi</w:t>
      </w:r>
      <w:r>
        <w:t xml:space="preserve">m from harm, the police </w:t>
      </w:r>
      <w:r w:rsidR="00D110F2">
        <w:t xml:space="preserve">refused, telling </w:t>
      </w:r>
      <w:r w:rsidR="00B67BF9">
        <w:t xml:space="preserve">Mr. </w:t>
      </w:r>
      <w:r w:rsidR="00210068">
        <w:t xml:space="preserve">X </w:t>
      </w:r>
      <w:r w:rsidR="00B67BF9">
        <w:t xml:space="preserve">that “fags” like him would </w:t>
      </w:r>
      <w:r>
        <w:t>not get pr</w:t>
      </w:r>
      <w:r>
        <w:t>o</w:t>
      </w:r>
      <w:r>
        <w:t>tection from anyone.</w:t>
      </w:r>
    </w:p>
    <w:p w14:paraId="32E604BC" w14:textId="53162E81" w:rsidR="00B67BF9" w:rsidRDefault="00D110F2" w:rsidP="006E17CD">
      <w:pPr>
        <w:pStyle w:val="SinglePara"/>
      </w:pPr>
      <w:r>
        <w:t>By</w:t>
      </w:r>
      <w:r w:rsidR="00210068">
        <w:t xml:space="preserve"> X</w:t>
      </w:r>
      <w:r w:rsidR="008A481F">
        <w:t xml:space="preserve">, Mr. X </w:t>
      </w:r>
      <w:r>
        <w:t>had become so afraid f</w:t>
      </w:r>
      <w:r w:rsidR="00B1306A">
        <w:t>o</w:t>
      </w:r>
      <w:r>
        <w:t>r his safety that he fled to the United States.  He arrived in the United States on a visitor’s visa on</w:t>
      </w:r>
      <w:r w:rsidR="00210068">
        <w:t xml:space="preserve"> X</w:t>
      </w:r>
      <w:r>
        <w:t>, and</w:t>
      </w:r>
      <w:r w:rsidR="00020F1D">
        <w:t>,</w:t>
      </w:r>
      <w:r>
        <w:t xml:space="preserve"> </w:t>
      </w:r>
      <w:r w:rsidR="00020F1D">
        <w:t>shortly after his arrival,</w:t>
      </w:r>
      <w:r>
        <w:t xml:space="preserve"> sought help to apply for political asylum in this country.</w:t>
      </w:r>
      <w:r w:rsidR="00020F1D">
        <w:br/>
      </w:r>
      <w:r w:rsidR="00ED0070">
        <w:t>I.</w:t>
      </w:r>
      <w:r w:rsidR="00ED0070">
        <w:tab/>
        <w:t>MR. X’</w:t>
      </w:r>
      <w:r w:rsidR="00174AEE">
        <w:t>S EXPERIENCE AS A GAY MAN IN BELARUS</w:t>
      </w:r>
    </w:p>
    <w:p w14:paraId="3D50817B" w14:textId="3521F8C8" w:rsidR="005D2715" w:rsidRDefault="00B22E99" w:rsidP="00C75FCE">
      <w:pPr>
        <w:pStyle w:val="SinglePara"/>
      </w:pPr>
      <w:r>
        <w:t xml:space="preserve">Mr. </w:t>
      </w:r>
      <w:r w:rsidR="00BE4E59">
        <w:t xml:space="preserve">X </w:t>
      </w:r>
      <w:r>
        <w:t xml:space="preserve">is </w:t>
      </w:r>
      <w:r w:rsidR="00C36AAB">
        <w:t>an</w:t>
      </w:r>
      <w:r>
        <w:t xml:space="preserve"> </w:t>
      </w:r>
      <w:r w:rsidR="00BE4E59">
        <w:t xml:space="preserve">X </w:t>
      </w:r>
      <w:r w:rsidR="00174AEE">
        <w:t>old gay man who was born in</w:t>
      </w:r>
      <w:r w:rsidR="00BE4E59">
        <w:t xml:space="preserve"> X</w:t>
      </w:r>
      <w:r w:rsidR="00174AEE">
        <w:t>, Belarus</w:t>
      </w:r>
      <w:r w:rsidR="00020F1D">
        <w:t>, on</w:t>
      </w:r>
      <w:r w:rsidR="00BE4E59">
        <w:t xml:space="preserve"> X</w:t>
      </w:r>
      <w:r w:rsidR="00020F1D">
        <w:t>.</w:t>
      </w:r>
      <w:r w:rsidR="00020F1D">
        <w:rPr>
          <w:rStyle w:val="FootnoteReference"/>
        </w:rPr>
        <w:footnoteReference w:id="1"/>
      </w:r>
      <w:r w:rsidR="00020F1D">
        <w:t xml:space="preserve">  He is a cit</w:t>
      </w:r>
      <w:r w:rsidR="00020F1D">
        <w:t>i</w:t>
      </w:r>
      <w:r w:rsidR="00020F1D">
        <w:t>zen of both Belarus and Russia.</w:t>
      </w:r>
      <w:r w:rsidR="00020F1D">
        <w:rPr>
          <w:rStyle w:val="FootnoteReference"/>
        </w:rPr>
        <w:footnoteReference w:id="2"/>
      </w:r>
      <w:r w:rsidR="00020F1D">
        <w:t xml:space="preserve">  </w:t>
      </w:r>
      <w:r>
        <w:t xml:space="preserve">Growing up in </w:t>
      </w:r>
      <w:r w:rsidR="00D93EE4">
        <w:t>X</w:t>
      </w:r>
      <w:r>
        <w:t xml:space="preserve">, Mr. </w:t>
      </w:r>
      <w:r w:rsidR="00D93EE4">
        <w:t xml:space="preserve">X </w:t>
      </w:r>
      <w:r>
        <w:t xml:space="preserve">gradually came to realize </w:t>
      </w:r>
      <w:r>
        <w:lastRenderedPageBreak/>
        <w:t xml:space="preserve">that he </w:t>
      </w:r>
      <w:r w:rsidR="009B7BAE">
        <w:t>i</w:t>
      </w:r>
      <w:r>
        <w:t>s physically and sexually attracted to other men, an attraction that he knew he was not supposed to feel, and that he should not reveal to others.  His fear that, if others learned his se</w:t>
      </w:r>
      <w:r w:rsidR="00B1306A">
        <w:t>cret, they would make fun of him</w:t>
      </w:r>
      <w:r>
        <w:t xml:space="preserve"> and he would be ostracized led Mr. </w:t>
      </w:r>
      <w:r w:rsidR="00E75844">
        <w:t xml:space="preserve">X </w:t>
      </w:r>
      <w:r>
        <w:t>to keep his feelings to himself.</w:t>
      </w:r>
      <w:r>
        <w:rPr>
          <w:rStyle w:val="FootnoteReference"/>
        </w:rPr>
        <w:footnoteReference w:id="3"/>
      </w:r>
      <w:r>
        <w:t xml:space="preserve">  But being unable to tell others how he felt left Mr. </w:t>
      </w:r>
      <w:r w:rsidR="00E75844">
        <w:t xml:space="preserve">X </w:t>
      </w:r>
      <w:r>
        <w:t>feeling isolated and alone.</w:t>
      </w:r>
      <w:r>
        <w:rPr>
          <w:rStyle w:val="FootnoteReference"/>
        </w:rPr>
        <w:footnoteReference w:id="4"/>
      </w:r>
      <w:r>
        <w:t xml:space="preserve">  </w:t>
      </w:r>
      <w:r w:rsidR="005D2715">
        <w:t xml:space="preserve">Through </w:t>
      </w:r>
      <w:r>
        <w:t xml:space="preserve">personal ads in an underground newspaper, </w:t>
      </w:r>
      <w:r w:rsidR="005D2715">
        <w:t>Mr</w:t>
      </w:r>
      <w:r w:rsidR="00E75844">
        <w:t>. X</w:t>
      </w:r>
      <w:r w:rsidR="005D2715">
        <w:t xml:space="preserve"> </w:t>
      </w:r>
      <w:r>
        <w:t>met a gay man named</w:t>
      </w:r>
      <w:r w:rsidR="00E75844">
        <w:t xml:space="preserve"> X</w:t>
      </w:r>
      <w:r w:rsidR="005D2715">
        <w:t>,</w:t>
      </w:r>
      <w:r>
        <w:t xml:space="preserve"> who lived in </w:t>
      </w:r>
      <w:r w:rsidR="00E75844">
        <w:t>X</w:t>
      </w:r>
      <w:r>
        <w:t>.</w:t>
      </w:r>
      <w:r w:rsidR="009B7BAE">
        <w:rPr>
          <w:rStyle w:val="FootnoteReference"/>
        </w:rPr>
        <w:footnoteReference w:id="5"/>
      </w:r>
      <w:r w:rsidR="00F11D07">
        <w:t xml:space="preserve">  </w:t>
      </w:r>
    </w:p>
    <w:p w14:paraId="548415B6" w14:textId="77777777" w:rsidR="00776243" w:rsidRDefault="0033733E" w:rsidP="00C75FCE">
      <w:pPr>
        <w:pStyle w:val="SinglePara"/>
      </w:pPr>
      <w:r>
        <w:t xml:space="preserve">In X, </w:t>
      </w:r>
      <w:r w:rsidR="00F11D07">
        <w:t xml:space="preserve">Mr. </w:t>
      </w:r>
      <w:r w:rsidR="00F8761E">
        <w:t>X</w:t>
      </w:r>
      <w:r w:rsidR="00F11D07">
        <w:t xml:space="preserve"> moved to</w:t>
      </w:r>
      <w:r>
        <w:t xml:space="preserve"> X</w:t>
      </w:r>
      <w:r w:rsidR="00F11D07">
        <w:t xml:space="preserve">, where he and Mr. </w:t>
      </w:r>
      <w:r>
        <w:t xml:space="preserve">X </w:t>
      </w:r>
      <w:r w:rsidR="009B7BAE">
        <w:t>eventually</w:t>
      </w:r>
      <w:r w:rsidR="00F11D07">
        <w:t xml:space="preserve"> lived together for less than a year.</w:t>
      </w:r>
      <w:r w:rsidR="009B7BAE">
        <w:rPr>
          <w:rStyle w:val="FootnoteReference"/>
        </w:rPr>
        <w:footnoteReference w:id="6"/>
      </w:r>
      <w:r w:rsidR="00F11D07">
        <w:t xml:space="preserve">  Mr. </w:t>
      </w:r>
      <w:r>
        <w:t>X</w:t>
      </w:r>
      <w:r w:rsidR="00F11D07">
        <w:t>’s sexual relationship with Mr.</w:t>
      </w:r>
      <w:r>
        <w:t xml:space="preserve"> X</w:t>
      </w:r>
      <w:r w:rsidR="005D2715">
        <w:t>—which was</w:t>
      </w:r>
      <w:r w:rsidR="00F11D07">
        <w:t xml:space="preserve"> </w:t>
      </w:r>
      <w:r w:rsidR="008B7665">
        <w:t>Mr.</w:t>
      </w:r>
      <w:r>
        <w:t xml:space="preserve"> X</w:t>
      </w:r>
      <w:r w:rsidR="008B7665">
        <w:t>’s</w:t>
      </w:r>
      <w:r w:rsidR="00F11D07">
        <w:t xml:space="preserve"> first such relationship</w:t>
      </w:r>
      <w:r w:rsidR="008B7665">
        <w:t>—lasted only a couple months</w:t>
      </w:r>
      <w:r w:rsidR="009B7BAE">
        <w:t xml:space="preserve">, </w:t>
      </w:r>
      <w:r w:rsidR="00054CC8">
        <w:t xml:space="preserve">during which they were careful not to reveal </w:t>
      </w:r>
      <w:r w:rsidR="00776243">
        <w:t>thei</w:t>
      </w:r>
      <w:r w:rsidR="00054CC8">
        <w:t xml:space="preserve">r relationship to others, and </w:t>
      </w:r>
      <w:r w:rsidR="00054CC8" w:rsidRPr="007A386F">
        <w:t xml:space="preserve">never kissed or </w:t>
      </w:r>
      <w:r w:rsidR="00054CC8">
        <w:t>showed</w:t>
      </w:r>
      <w:r w:rsidR="00054CC8" w:rsidRPr="007A386F">
        <w:t xml:space="preserve"> affection</w:t>
      </w:r>
      <w:r w:rsidR="00054CC8">
        <w:t xml:space="preserve"> for one another </w:t>
      </w:r>
      <w:r w:rsidR="00054CC8" w:rsidRPr="007A386F">
        <w:t xml:space="preserve">in public </w:t>
      </w:r>
      <w:r w:rsidR="00054CC8">
        <w:t xml:space="preserve">because they </w:t>
      </w:r>
      <w:r w:rsidR="00054CC8" w:rsidRPr="007A386F">
        <w:t>knew that</w:t>
      </w:r>
      <w:r w:rsidR="00054CC8">
        <w:t xml:space="preserve"> it was dangerous in Belarus for two men to do so</w:t>
      </w:r>
      <w:r w:rsidR="00054CC8" w:rsidRPr="007A386F">
        <w:t>.</w:t>
      </w:r>
      <w:r w:rsidR="00054CC8">
        <w:rPr>
          <w:rStyle w:val="FootnoteReference"/>
        </w:rPr>
        <w:footnoteReference w:id="7"/>
      </w:r>
    </w:p>
    <w:p w14:paraId="6A41D2A3" w14:textId="5AD418FA" w:rsidR="00B67BF9" w:rsidRDefault="00054CC8" w:rsidP="00C75FCE">
      <w:pPr>
        <w:pStyle w:val="SinglePara"/>
      </w:pPr>
      <w:r>
        <w:t>I</w:t>
      </w:r>
      <w:r w:rsidR="0033733E">
        <w:t>n X</w:t>
      </w:r>
      <w:r w:rsidR="009B7BAE">
        <w:t xml:space="preserve">, Mr. </w:t>
      </w:r>
      <w:r w:rsidR="00F8761E">
        <w:t xml:space="preserve">X </w:t>
      </w:r>
      <w:r w:rsidR="009B7BAE">
        <w:t xml:space="preserve">moved </w:t>
      </w:r>
      <w:r>
        <w:t xml:space="preserve">out of Mr. </w:t>
      </w:r>
      <w:r w:rsidR="00F8761E">
        <w:t>X</w:t>
      </w:r>
      <w:r>
        <w:t xml:space="preserve">’s apartment and </w:t>
      </w:r>
      <w:r w:rsidR="009B7BAE">
        <w:t xml:space="preserve">into </w:t>
      </w:r>
      <w:r w:rsidR="0035519E">
        <w:t>X</w:t>
      </w:r>
      <w:r w:rsidR="009B7BAE">
        <w:t>.</w:t>
      </w:r>
      <w:r w:rsidR="009B7BAE">
        <w:rPr>
          <w:rStyle w:val="FootnoteReference"/>
        </w:rPr>
        <w:footnoteReference w:id="8"/>
      </w:r>
      <w:r w:rsidR="009B7BAE">
        <w:t xml:space="preserve">  There, Mr. </w:t>
      </w:r>
      <w:r w:rsidR="00185921">
        <w:t xml:space="preserve">X </w:t>
      </w:r>
      <w:r w:rsidR="009B7BAE">
        <w:t>was attacked and beaten for the first time because he is gay.</w:t>
      </w:r>
      <w:r>
        <w:t xml:space="preserve">  His roommates learned that he is gay and, one day, they began to taunt him about it.  The taunts became physical as they knocked Mr. </w:t>
      </w:r>
      <w:r w:rsidR="0035519E">
        <w:t xml:space="preserve">X </w:t>
      </w:r>
      <w:r>
        <w:t xml:space="preserve">to the ground and attacked him, calling him a fag and beating him with their fists.  They eventually left Mr. </w:t>
      </w:r>
      <w:r w:rsidR="0035519E">
        <w:t xml:space="preserve">X </w:t>
      </w:r>
      <w:r>
        <w:t>lying on the floor</w:t>
      </w:r>
      <w:r w:rsidR="00776243">
        <w:t xml:space="preserve"> in a pool of his own blood</w:t>
      </w:r>
      <w:r>
        <w:t xml:space="preserve">, his face bruised, his eyes blackened, his nose bleeding and, </w:t>
      </w:r>
      <w:r>
        <w:rPr>
          <w:color w:val="222222"/>
          <w:lang w:val="en"/>
        </w:rPr>
        <w:t>because of a strong blow to his left eye, his left retina detached</w:t>
      </w:r>
      <w:r>
        <w:t>.</w:t>
      </w:r>
      <w:r w:rsidR="00776243">
        <w:rPr>
          <w:rStyle w:val="FootnoteReference"/>
        </w:rPr>
        <w:footnoteReference w:id="9"/>
      </w:r>
      <w:r>
        <w:t xml:space="preserve"> </w:t>
      </w:r>
    </w:p>
    <w:p w14:paraId="7A3AAA27" w14:textId="77777777" w:rsidR="00B67BF9" w:rsidRDefault="00EC12A7" w:rsidP="00C75FCE">
      <w:pPr>
        <w:pStyle w:val="SinglePara"/>
      </w:pPr>
      <w:r>
        <w:t>In X</w:t>
      </w:r>
      <w:r w:rsidR="00776243">
        <w:t>, following the attack and continued harassment in</w:t>
      </w:r>
      <w:r>
        <w:t xml:space="preserve"> X, Mr. X </w:t>
      </w:r>
      <w:r w:rsidR="00776243">
        <w:t>moved into an apartment with two other gay men.</w:t>
      </w:r>
      <w:r w:rsidR="00776243">
        <w:rPr>
          <w:rStyle w:val="FootnoteReference"/>
        </w:rPr>
        <w:footnoteReference w:id="10"/>
      </w:r>
      <w:r w:rsidR="00776243">
        <w:t xml:space="preserve">  These two friends were much more open</w:t>
      </w:r>
      <w:r w:rsidR="00A63BE2">
        <w:t xml:space="preserve"> than Mr.</w:t>
      </w:r>
      <w:r w:rsidR="00BF7C26">
        <w:t xml:space="preserve"> X</w:t>
      </w:r>
      <w:r w:rsidR="00776243">
        <w:t xml:space="preserve">.  Although, like other gay men, these </w:t>
      </w:r>
      <w:r w:rsidR="00A63BE2">
        <w:t xml:space="preserve">two </w:t>
      </w:r>
      <w:r w:rsidR="00776243">
        <w:t>men were afraid of being a</w:t>
      </w:r>
      <w:r w:rsidR="00776243">
        <w:t>t</w:t>
      </w:r>
      <w:r w:rsidR="00776243">
        <w:t xml:space="preserve">tacked for being gay and were afraid that the police would not help them—indeed, might participate in any anti-gay attack—their desire to be open about being gay seemed stronger than their fear.  For the first time in his life, Mr. </w:t>
      </w:r>
      <w:r w:rsidR="00AE2825">
        <w:t xml:space="preserve">X </w:t>
      </w:r>
      <w:r w:rsidR="00776243">
        <w:t xml:space="preserve">felt that he could </w:t>
      </w:r>
      <w:r w:rsidR="00776243">
        <w:lastRenderedPageBreak/>
        <w:t xml:space="preserve">talk about his sexual feelings and the acceptance by these two men and their circle of friends brought Mr. </w:t>
      </w:r>
      <w:r w:rsidR="00AE2825">
        <w:t xml:space="preserve">X </w:t>
      </w:r>
      <w:r w:rsidR="00776243">
        <w:t>a sense of relief that he had not felt before.</w:t>
      </w:r>
      <w:r w:rsidR="00A63BE2">
        <w:rPr>
          <w:rStyle w:val="FootnoteReference"/>
        </w:rPr>
        <w:footnoteReference w:id="11"/>
      </w:r>
    </w:p>
    <w:p w14:paraId="379E8C6F" w14:textId="77777777" w:rsidR="00A63BE2" w:rsidRDefault="00A63BE2" w:rsidP="00C75FCE">
      <w:pPr>
        <w:pStyle w:val="SinglePara"/>
      </w:pPr>
      <w:r>
        <w:t>That sense of relief was short-lived, however, when, in</w:t>
      </w:r>
      <w:r w:rsidR="00AE2825">
        <w:t xml:space="preserve"> X</w:t>
      </w:r>
      <w:r>
        <w:t xml:space="preserve">, Mr. </w:t>
      </w:r>
      <w:r w:rsidR="00AE2825">
        <w:t xml:space="preserve">X </w:t>
      </w:r>
      <w:r>
        <w:t xml:space="preserve">and his two </w:t>
      </w:r>
      <w:r w:rsidR="00AF190D">
        <w:t>room</w:t>
      </w:r>
      <w:r>
        <w:t>mates were attacked at gunpoint in their apartment.</w:t>
      </w:r>
      <w:r>
        <w:rPr>
          <w:rStyle w:val="FootnoteReference"/>
        </w:rPr>
        <w:footnoteReference w:id="12"/>
      </w:r>
      <w:r>
        <w:t xml:space="preserve"> </w:t>
      </w:r>
      <w:r w:rsidR="00AE2825">
        <w:t xml:space="preserve"> The attackers pushed past Mr. X</w:t>
      </w:r>
      <w:r>
        <w:t xml:space="preserve"> into the apartment, tied Mr. </w:t>
      </w:r>
      <w:r w:rsidR="00AE2825">
        <w:t xml:space="preserve">X </w:t>
      </w:r>
      <w:r>
        <w:t>and his friends up at gunpoint</w:t>
      </w:r>
      <w:r w:rsidR="00AF190D">
        <w:t>,</w:t>
      </w:r>
      <w:r>
        <w:t xml:space="preserve"> trapped them in the bathroom, and ransacked the apartment, </w:t>
      </w:r>
      <w:r w:rsidR="00E952F2">
        <w:t xml:space="preserve">stealing several items and </w:t>
      </w:r>
      <w:r>
        <w:t xml:space="preserve">referring to Mr. </w:t>
      </w:r>
      <w:r w:rsidR="00AE2825">
        <w:t xml:space="preserve">X </w:t>
      </w:r>
      <w:r>
        <w:t>and his friends as fags.</w:t>
      </w:r>
      <w:r>
        <w:rPr>
          <w:rStyle w:val="FootnoteReference"/>
        </w:rPr>
        <w:footnoteReference w:id="13"/>
      </w:r>
      <w:r>
        <w:t xml:space="preserve">  </w:t>
      </w:r>
      <w:r w:rsidR="00E952F2">
        <w:t xml:space="preserve">After the attackers had left, Mr. </w:t>
      </w:r>
      <w:r w:rsidR="00AE2825">
        <w:t xml:space="preserve">X </w:t>
      </w:r>
      <w:r w:rsidR="00E952F2">
        <w:t>prevailed on his two friends to call the police.</w:t>
      </w:r>
      <w:r w:rsidR="00E952F2">
        <w:rPr>
          <w:rStyle w:val="FootnoteReference"/>
        </w:rPr>
        <w:footnoteReference w:id="14"/>
      </w:r>
      <w:r w:rsidR="00E952F2">
        <w:t xml:space="preserve">  But the police refused to conduct a serious investig</w:t>
      </w:r>
      <w:r w:rsidR="00E952F2">
        <w:t>a</w:t>
      </w:r>
      <w:r w:rsidR="00E952F2">
        <w:t xml:space="preserve">tion of the attack and theft perpetrated on </w:t>
      </w:r>
      <w:r w:rsidR="00AF190D">
        <w:t xml:space="preserve">the </w:t>
      </w:r>
      <w:r w:rsidR="00E952F2">
        <w:t xml:space="preserve">three gay men, and, when Mr. </w:t>
      </w:r>
      <w:r w:rsidR="00AE2825">
        <w:t xml:space="preserve">X </w:t>
      </w:r>
      <w:r w:rsidR="00E952F2">
        <w:t>and his friends went to the police station to describe the attack and to inquire about the investigation, the police harassed them for being gay.</w:t>
      </w:r>
      <w:r w:rsidR="00E952F2">
        <w:rPr>
          <w:rStyle w:val="FootnoteReference"/>
        </w:rPr>
        <w:footnoteReference w:id="15"/>
      </w:r>
    </w:p>
    <w:p w14:paraId="587E5850" w14:textId="77777777" w:rsidR="00B67BF9" w:rsidRDefault="00E952F2" w:rsidP="00C75FCE">
      <w:pPr>
        <w:pStyle w:val="SinglePara"/>
      </w:pPr>
      <w:r>
        <w:t xml:space="preserve">The </w:t>
      </w:r>
      <w:r w:rsidR="00BD57F3">
        <w:t>incident</w:t>
      </w:r>
      <w:r>
        <w:t xml:space="preserve"> </w:t>
      </w:r>
      <w:r w:rsidR="00BD57F3">
        <w:t xml:space="preserve">awakened Mr. </w:t>
      </w:r>
      <w:r w:rsidR="00DD7ED0">
        <w:t xml:space="preserve">X </w:t>
      </w:r>
      <w:r w:rsidR="00BD57F3">
        <w:t>to the fact that the police in Belarus would not protect gay men from attacks by anti-gay groups intent on terrorizing gay men.  The police and skinheads and other anti-gay groups frequently harassed and attacked gay men on their way to or from nightclubs.  Skinheads often posed as taxi drivers wai</w:t>
      </w:r>
      <w:r w:rsidR="00BD57F3">
        <w:t>t</w:t>
      </w:r>
      <w:r w:rsidR="00BD57F3">
        <w:t>ing for a passenger outside the club, and would beat up and rob their gay customers.  The police, too, frequently</w:t>
      </w:r>
      <w:r w:rsidR="00BD57F3" w:rsidRPr="007467D5">
        <w:t xml:space="preserve"> stop</w:t>
      </w:r>
      <w:r w:rsidR="00BD57F3">
        <w:t>ped gay men coming from a</w:t>
      </w:r>
      <w:r w:rsidR="00BD57F3" w:rsidRPr="007467D5">
        <w:t xml:space="preserve"> </w:t>
      </w:r>
      <w:r w:rsidR="00BD57F3">
        <w:t>club</w:t>
      </w:r>
      <w:r w:rsidR="00BD57F3" w:rsidRPr="007467D5">
        <w:t xml:space="preserve"> and </w:t>
      </w:r>
      <w:r w:rsidR="00BD57F3">
        <w:t>extorted money from them</w:t>
      </w:r>
      <w:r w:rsidR="00BD57F3" w:rsidRPr="007467D5">
        <w:t xml:space="preserve">, knowing that the victims would not </w:t>
      </w:r>
      <w:r w:rsidR="00BD57F3">
        <w:t xml:space="preserve">file a police </w:t>
      </w:r>
      <w:r w:rsidR="00BD57F3" w:rsidRPr="007467D5">
        <w:t>report</w:t>
      </w:r>
      <w:r w:rsidR="00BD57F3">
        <w:t xml:space="preserve"> </w:t>
      </w:r>
      <w:r w:rsidR="00BD57F3" w:rsidRPr="007467D5">
        <w:t>or say anything to anyone</w:t>
      </w:r>
      <w:r w:rsidR="00BD57F3">
        <w:t xml:space="preserve"> for fear that the victims themselves would be outed as gay and would be fu</w:t>
      </w:r>
      <w:r w:rsidR="00BD57F3">
        <w:t>r</w:t>
      </w:r>
      <w:r w:rsidR="00BD57F3">
        <w:t>ther victimized.  One night, the police stopped one of Mr.</w:t>
      </w:r>
      <w:r w:rsidR="00DD7ED0">
        <w:t xml:space="preserve"> X</w:t>
      </w:r>
      <w:r w:rsidR="00BD57F3">
        <w:t>’s f</w:t>
      </w:r>
      <w:r w:rsidR="00BD57F3" w:rsidRPr="007467D5">
        <w:t xml:space="preserve">riends </w:t>
      </w:r>
      <w:r w:rsidR="00BD57F3">
        <w:t>and</w:t>
      </w:r>
      <w:r w:rsidR="00BD57F3" w:rsidRPr="007467D5">
        <w:t xml:space="preserve"> demanded his wallet and all of his documents</w:t>
      </w:r>
      <w:r w:rsidR="00BD57F3">
        <w:t>.  He gave them everything.  After a few minutes,</w:t>
      </w:r>
      <w:r w:rsidR="00BD57F3" w:rsidRPr="007467D5">
        <w:t xml:space="preserve"> </w:t>
      </w:r>
      <w:r w:rsidR="00BD57F3">
        <w:t xml:space="preserve">the police </w:t>
      </w:r>
      <w:r w:rsidR="00BD57F3" w:rsidRPr="007467D5">
        <w:t xml:space="preserve">returned </w:t>
      </w:r>
      <w:r w:rsidR="00BD57F3">
        <w:t>his documents and his</w:t>
      </w:r>
      <w:r w:rsidR="00BD57F3" w:rsidRPr="007467D5">
        <w:t xml:space="preserve"> wallet without any money</w:t>
      </w:r>
      <w:r w:rsidR="00BD57F3">
        <w:t>.  There was nothing he could do about this.  Like most gay men, Mr.</w:t>
      </w:r>
      <w:r w:rsidR="00DD7ED0">
        <w:t xml:space="preserve"> X</w:t>
      </w:r>
      <w:r w:rsidR="00BD57F3">
        <w:t>’s friend knew that it was safer just to try to forget the incident than to risk being further victimized by the p</w:t>
      </w:r>
      <w:r w:rsidR="00BD57F3">
        <w:t>o</w:t>
      </w:r>
      <w:r w:rsidR="00BD57F3">
        <w:t>lice.</w:t>
      </w:r>
      <w:r w:rsidR="00BD57F3">
        <w:rPr>
          <w:rStyle w:val="FootnoteReference"/>
        </w:rPr>
        <w:footnoteReference w:id="16"/>
      </w:r>
    </w:p>
    <w:p w14:paraId="020ED4AD" w14:textId="56019D76" w:rsidR="00B67BF9" w:rsidRDefault="00823092" w:rsidP="00C75FCE">
      <w:pPr>
        <w:pStyle w:val="SinglePara"/>
      </w:pPr>
      <w:r>
        <w:t>Shortly after the attack in</w:t>
      </w:r>
      <w:r w:rsidR="00EB4D8F">
        <w:t xml:space="preserve"> X, Mr. X</w:t>
      </w:r>
      <w:r>
        <w:t xml:space="preserve"> moved out of the apartment he shared with his two friends,</w:t>
      </w:r>
      <w:r>
        <w:rPr>
          <w:rStyle w:val="FootnoteReference"/>
        </w:rPr>
        <w:footnoteReference w:id="17"/>
      </w:r>
      <w:r w:rsidR="00F03723">
        <w:t xml:space="preserve"> and by X</w:t>
      </w:r>
      <w:r>
        <w:t xml:space="preserve">, he had dropped out of </w:t>
      </w:r>
      <w:r w:rsidR="00975CCA">
        <w:t>the university</w:t>
      </w:r>
      <w:r>
        <w:t>, found a job in</w:t>
      </w:r>
      <w:r w:rsidR="004D50E1">
        <w:t xml:space="preserve"> </w:t>
      </w:r>
      <w:r w:rsidR="004D50E1">
        <w:lastRenderedPageBreak/>
        <w:t>X</w:t>
      </w:r>
      <w:r>
        <w:t>, and rented a furnished apartment of his own.</w:t>
      </w:r>
      <w:r>
        <w:rPr>
          <w:rStyle w:val="FootnoteReference"/>
        </w:rPr>
        <w:footnoteReference w:id="18"/>
      </w:r>
      <w:r>
        <w:t xml:space="preserve">  </w:t>
      </w:r>
      <w:r w:rsidR="00975CCA">
        <w:t>In</w:t>
      </w:r>
      <w:r w:rsidR="00A858D8">
        <w:t xml:space="preserve"> X</w:t>
      </w:r>
      <w:r w:rsidR="00975CCA">
        <w:t xml:space="preserve">, Mr. </w:t>
      </w:r>
      <w:r w:rsidR="00F03723">
        <w:t xml:space="preserve">X </w:t>
      </w:r>
      <w:r w:rsidR="00975CCA">
        <w:t>moved out of his rented apartment because his landlady persisted in trying to “cure” him of his hom</w:t>
      </w:r>
      <w:r w:rsidR="00975CCA">
        <w:t>o</w:t>
      </w:r>
      <w:r w:rsidR="00975CCA">
        <w:t>sexuality and became abusive when he resisted her efforts.</w:t>
      </w:r>
      <w:r w:rsidR="00975CCA">
        <w:rPr>
          <w:rStyle w:val="FootnoteReference"/>
        </w:rPr>
        <w:footnoteReference w:id="19"/>
      </w:r>
      <w:r w:rsidR="00975CCA">
        <w:t xml:space="preserve">  The landlady then filed a police report accusing </w:t>
      </w:r>
      <w:r w:rsidR="00E865BC">
        <w:t xml:space="preserve">X </w:t>
      </w:r>
      <w:r w:rsidR="00975CCA">
        <w:t>of having stolen a painting from her even though there had never been a painting in the apartment.  On</w:t>
      </w:r>
      <w:r w:rsidR="00E865BC">
        <w:t xml:space="preserve"> X</w:t>
      </w:r>
      <w:r w:rsidR="00975CCA">
        <w:t>, police officers came to Mr.</w:t>
      </w:r>
      <w:r w:rsidR="00F077EB">
        <w:t xml:space="preserve"> X</w:t>
      </w:r>
      <w:r w:rsidR="00975CCA">
        <w:t xml:space="preserve">’s workplace and took Mr. </w:t>
      </w:r>
      <w:r w:rsidR="00F077EB">
        <w:t xml:space="preserve">X </w:t>
      </w:r>
      <w:r w:rsidR="00975CCA">
        <w:t xml:space="preserve">to the police station to interrogate him about the alleged painting and about the male visitors that Mr. </w:t>
      </w:r>
      <w:r w:rsidR="00F077EB">
        <w:t xml:space="preserve">X </w:t>
      </w:r>
      <w:r w:rsidR="00975CCA">
        <w:t>reportedly had hosted in the apar</w:t>
      </w:r>
      <w:r w:rsidR="00975CCA">
        <w:t>t</w:t>
      </w:r>
      <w:r w:rsidR="00975CCA">
        <w:t>ment.</w:t>
      </w:r>
      <w:r w:rsidR="00975CCA">
        <w:rPr>
          <w:rStyle w:val="FootnoteReference"/>
        </w:rPr>
        <w:footnoteReference w:id="20"/>
      </w:r>
      <w:r w:rsidR="00975CCA">
        <w:t xml:space="preserve">  The police then accompanied Mr. </w:t>
      </w:r>
      <w:r w:rsidR="00F077EB">
        <w:t xml:space="preserve">X </w:t>
      </w:r>
      <w:r w:rsidR="00975CCA">
        <w:t xml:space="preserve">to his new apartment, where, for two hours, they searched the apartment, </w:t>
      </w:r>
      <w:proofErr w:type="gramStart"/>
      <w:r w:rsidR="00975CCA">
        <w:t>turning</w:t>
      </w:r>
      <w:proofErr w:type="gramEnd"/>
      <w:r w:rsidR="00975CCA">
        <w:t xml:space="preserve"> everything upside down.  The police did not find any painting </w:t>
      </w:r>
      <w:r w:rsidR="00AF190D">
        <w:t>because</w:t>
      </w:r>
      <w:r w:rsidR="00975CCA">
        <w:t xml:space="preserve"> there had never been any painting, but they</w:t>
      </w:r>
      <w:r w:rsidR="00EA0858">
        <w:t xml:space="preserve"> made a complete mess of the apartment before they left, never contact</w:t>
      </w:r>
      <w:r w:rsidR="00AF190D">
        <w:t>ing</w:t>
      </w:r>
      <w:r w:rsidR="00610A86">
        <w:t xml:space="preserve"> Mr. X </w:t>
      </w:r>
      <w:r w:rsidR="00EA0858">
        <w:t>about the allegedly stolen painting again.</w:t>
      </w:r>
      <w:r w:rsidR="00EA0858">
        <w:rPr>
          <w:rStyle w:val="FootnoteReference"/>
        </w:rPr>
        <w:footnoteReference w:id="21"/>
      </w:r>
      <w:r w:rsidR="00610A86">
        <w:t xml:space="preserve">  Mr. X</w:t>
      </w:r>
      <w:r w:rsidR="00EA0858">
        <w:t xml:space="preserve"> considered filing a complaint about the p</w:t>
      </w:r>
      <w:r w:rsidR="00EA0858">
        <w:t>o</w:t>
      </w:r>
      <w:r w:rsidR="00EA0858">
        <w:t>lice officers’ behavior, but he knew from past experience that nothing would be done.</w:t>
      </w:r>
      <w:r w:rsidR="00EA0858">
        <w:rPr>
          <w:rStyle w:val="FootnoteReference"/>
        </w:rPr>
        <w:footnoteReference w:id="22"/>
      </w:r>
    </w:p>
    <w:p w14:paraId="0E019BA3" w14:textId="58A8BB74" w:rsidR="00BD57F3" w:rsidRDefault="00EA0858" w:rsidP="00C75FCE">
      <w:pPr>
        <w:pStyle w:val="SinglePara"/>
      </w:pPr>
      <w:r>
        <w:t>Mr.</w:t>
      </w:r>
      <w:r w:rsidR="00610A86">
        <w:t xml:space="preserve"> X</w:t>
      </w:r>
      <w:r>
        <w:t>’s arrest at work led to trouble at his job.  The security manage</w:t>
      </w:r>
      <w:r w:rsidR="00610A86">
        <w:t>r falsely accused Mr. X</w:t>
      </w:r>
      <w:r>
        <w:t xml:space="preserve"> of stealing telephone equipment, and his boss and co-workers began to harass him because he is gay.</w:t>
      </w:r>
      <w:r>
        <w:rPr>
          <w:rStyle w:val="FootnoteReference"/>
        </w:rPr>
        <w:footnoteReference w:id="23"/>
      </w:r>
      <w:r>
        <w:t xml:space="preserve">  In</w:t>
      </w:r>
      <w:r w:rsidR="00610A86">
        <w:t xml:space="preserve"> X</w:t>
      </w:r>
      <w:r>
        <w:t>, his employment contract was no</w:t>
      </w:r>
      <w:r w:rsidR="00B1306A">
        <w:t>t</w:t>
      </w:r>
      <w:r>
        <w:t xml:space="preserve"> renewed, and he was unable to find another job in </w:t>
      </w:r>
      <w:r w:rsidR="00610A86">
        <w:t xml:space="preserve">X </w:t>
      </w:r>
      <w:r>
        <w:t>because his boss gave him a negative re</w:t>
      </w:r>
      <w:r>
        <w:t>f</w:t>
      </w:r>
      <w:r>
        <w:t>erence.</w:t>
      </w:r>
      <w:r>
        <w:rPr>
          <w:rStyle w:val="FootnoteReference"/>
        </w:rPr>
        <w:footnoteReference w:id="24"/>
      </w:r>
      <w:r>
        <w:t xml:space="preserve">  Out of work, and feeling that he could no longer find a safe place to live in </w:t>
      </w:r>
      <w:r w:rsidR="00F67369">
        <w:t xml:space="preserve">X </w:t>
      </w:r>
      <w:r>
        <w:t xml:space="preserve">where he would be free from harassment, Mr. </w:t>
      </w:r>
      <w:r w:rsidR="00647397">
        <w:t xml:space="preserve">X </w:t>
      </w:r>
      <w:r>
        <w:t xml:space="preserve">decided to move to </w:t>
      </w:r>
      <w:r w:rsidR="00F67369">
        <w:t xml:space="preserve">X </w:t>
      </w:r>
      <w:r>
        <w:t>and start anew.</w:t>
      </w:r>
      <w:r>
        <w:rPr>
          <w:rStyle w:val="FootnoteReference"/>
        </w:rPr>
        <w:footnoteReference w:id="25"/>
      </w:r>
    </w:p>
    <w:p w14:paraId="6EBC64D3" w14:textId="1B72553E" w:rsidR="00BD57F3" w:rsidRDefault="00BD57F3" w:rsidP="00BD57F3">
      <w:pPr>
        <w:pStyle w:val="HeadingLeftBold"/>
      </w:pPr>
      <w:r>
        <w:t>II.</w:t>
      </w:r>
      <w:r>
        <w:tab/>
        <w:t>MR.</w:t>
      </w:r>
      <w:r w:rsidR="00E80011">
        <w:t xml:space="preserve"> X</w:t>
      </w:r>
      <w:r>
        <w:t>’S EXPERIENCE AS A GAY MAN IN RUSSIA</w:t>
      </w:r>
    </w:p>
    <w:p w14:paraId="4C74F4BA" w14:textId="3C246BB3" w:rsidR="00B1306A" w:rsidRDefault="00071BB2" w:rsidP="00051F50">
      <w:pPr>
        <w:pStyle w:val="SinglePara"/>
      </w:pPr>
      <w:r>
        <w:t xml:space="preserve">Mr. </w:t>
      </w:r>
      <w:r w:rsidR="00E80011">
        <w:t xml:space="preserve">X </w:t>
      </w:r>
      <w:r>
        <w:t xml:space="preserve">moved to </w:t>
      </w:r>
      <w:r w:rsidR="00556D41">
        <w:t xml:space="preserve">X </w:t>
      </w:r>
      <w:r>
        <w:t>in</w:t>
      </w:r>
      <w:r w:rsidR="00E80011">
        <w:t xml:space="preserve"> X</w:t>
      </w:r>
      <w:r>
        <w:t>, and, for several years, worked quietly at several companies, where he kept his sexuality hidden from his supervisors and co-workers for fear that he would be fired or would suffer other repercussions if they knew that he is gay.</w:t>
      </w:r>
      <w:r>
        <w:rPr>
          <w:rStyle w:val="FootnoteReference"/>
        </w:rPr>
        <w:footnoteReference w:id="26"/>
      </w:r>
      <w:r w:rsidR="00D41591">
        <w:t xml:space="preserve">  One night in</w:t>
      </w:r>
      <w:r w:rsidR="006D49CD">
        <w:t xml:space="preserve"> X</w:t>
      </w:r>
      <w:r w:rsidR="00D41591">
        <w:t xml:space="preserve">, however, Mr. </w:t>
      </w:r>
      <w:r w:rsidR="00A912EB">
        <w:t xml:space="preserve">X </w:t>
      </w:r>
      <w:r w:rsidR="00D41591">
        <w:t xml:space="preserve">and two of his friends were stopped by police as they drove from a gay-friendly nightclub.  The three men cooperated with </w:t>
      </w:r>
      <w:r w:rsidR="00D41591">
        <w:lastRenderedPageBreak/>
        <w:t xml:space="preserve">the police, providing the officers with their identification documents and permitting the officers to search their car, but when Mr. </w:t>
      </w:r>
      <w:r w:rsidR="00267F19">
        <w:t xml:space="preserve">X </w:t>
      </w:r>
      <w:r w:rsidR="00034A1E">
        <w:t>used his telephone to call a help line that is similar to the telephone number 911 in the United States, and refused to g</w:t>
      </w:r>
      <w:r w:rsidR="00D41591">
        <w:t>ive his wallet to the police officers, they arrested him and took him to the station.</w:t>
      </w:r>
      <w:r w:rsidR="00D41591">
        <w:rPr>
          <w:rStyle w:val="FootnoteReference"/>
        </w:rPr>
        <w:footnoteReference w:id="27"/>
      </w:r>
      <w:r w:rsidR="00034A1E">
        <w:t xml:space="preserve">  </w:t>
      </w:r>
    </w:p>
    <w:p w14:paraId="3DDD69FF" w14:textId="24BC42FD" w:rsidR="00B1306A" w:rsidRDefault="00034A1E" w:rsidP="00051F50">
      <w:pPr>
        <w:pStyle w:val="SinglePara"/>
      </w:pPr>
      <w:r w:rsidRPr="00686303">
        <w:t>At the st</w:t>
      </w:r>
      <w:r>
        <w:t>ation, the police ridiculed and humiliated Mr.</w:t>
      </w:r>
      <w:r w:rsidR="00267F19">
        <w:t xml:space="preserve"> X</w:t>
      </w:r>
      <w:r w:rsidRPr="00686303">
        <w:t xml:space="preserve">, </w:t>
      </w:r>
      <w:r>
        <w:t>calling him a faggot and a pederast, and telling him that they would not release him until he had</w:t>
      </w:r>
      <w:r w:rsidRPr="00686303">
        <w:t xml:space="preserve"> suck</w:t>
      </w:r>
      <w:r>
        <w:t>ed</w:t>
      </w:r>
      <w:r w:rsidRPr="00686303">
        <w:t xml:space="preserve"> their dicks and</w:t>
      </w:r>
      <w:r>
        <w:t xml:space="preserve"> per</w:t>
      </w:r>
      <w:r w:rsidR="00AF190D">
        <w:t>formed other sexual acts on</w:t>
      </w:r>
      <w:r>
        <w:t xml:space="preserve"> them.  They searched his phone and said that he</w:t>
      </w:r>
      <w:r w:rsidRPr="00686303">
        <w:t xml:space="preserve"> would</w:t>
      </w:r>
      <w:r>
        <w:t xml:space="preserve"> have to pay for the trouble he had caused them by call</w:t>
      </w:r>
      <w:r w:rsidR="00603568">
        <w:t>ing the help line.  Mr. X</w:t>
      </w:r>
      <w:r>
        <w:t xml:space="preserve"> felt helpless and terrified.  He was so nervous that </w:t>
      </w:r>
      <w:r w:rsidR="000B0BC3">
        <w:t>he began to shake</w:t>
      </w:r>
      <w:r w:rsidR="00AF190D">
        <w:t xml:space="preserve"> physically</w:t>
      </w:r>
      <w:r w:rsidR="000B0BC3">
        <w:t>.  Being held</w:t>
      </w:r>
      <w:r>
        <w:t xml:space="preserve"> alone in the police station with</w:t>
      </w:r>
      <w:r w:rsidR="00E322A9">
        <w:t xml:space="preserve"> the officers mocking him, Mr. X</w:t>
      </w:r>
      <w:r>
        <w:t xml:space="preserve"> felt that the police seemed so untouchable, as if they could have beaten him or even killed him and gotten away with it.</w:t>
      </w:r>
      <w:r>
        <w:rPr>
          <w:rStyle w:val="FootnoteReference"/>
        </w:rPr>
        <w:footnoteReference w:id="28"/>
      </w:r>
      <w:r>
        <w:t xml:space="preserve">  </w:t>
      </w:r>
    </w:p>
    <w:p w14:paraId="72384116" w14:textId="3CAD9E8D" w:rsidR="00034A1E" w:rsidRDefault="00034A1E" w:rsidP="00051F50">
      <w:pPr>
        <w:pStyle w:val="SinglePara"/>
      </w:pPr>
      <w:r>
        <w:t xml:space="preserve">After two or three hours, the police officers released Mr. </w:t>
      </w:r>
      <w:r w:rsidR="00DF4DBD">
        <w:t xml:space="preserve">X </w:t>
      </w:r>
      <w:r>
        <w:t xml:space="preserve">at 3:00 in the morning, but not before </w:t>
      </w:r>
      <w:r w:rsidR="00051F50">
        <w:t>his</w:t>
      </w:r>
      <w:r>
        <w:t xml:space="preserve"> friends had paid the police officers a bribe to do so.  Mr. </w:t>
      </w:r>
      <w:r w:rsidR="00BD1EAD">
        <w:t xml:space="preserve">X </w:t>
      </w:r>
      <w:r>
        <w:t xml:space="preserve">filed a </w:t>
      </w:r>
      <w:r w:rsidR="00051F50">
        <w:t xml:space="preserve">police </w:t>
      </w:r>
      <w:r>
        <w:t xml:space="preserve">report </w:t>
      </w:r>
      <w:r w:rsidR="00AF190D">
        <w:t>about</w:t>
      </w:r>
      <w:r>
        <w:t xml:space="preserve"> the arrest and harassment, but not</w:t>
      </w:r>
      <w:r w:rsidRPr="00D86DF5">
        <w:t>hing was ever done.</w:t>
      </w:r>
      <w:r w:rsidR="00051F50">
        <w:rPr>
          <w:rStyle w:val="FootnoteReference"/>
        </w:rPr>
        <w:footnoteReference w:id="29"/>
      </w:r>
      <w:r w:rsidR="00051F50">
        <w:t xml:space="preserve">  </w:t>
      </w:r>
      <w:r>
        <w:t xml:space="preserve">Sometime thereafter, </w:t>
      </w:r>
      <w:r w:rsidR="00051F50">
        <w:t>Mr.</w:t>
      </w:r>
      <w:r>
        <w:t xml:space="preserve"> </w:t>
      </w:r>
      <w:r w:rsidR="00403FF3">
        <w:t xml:space="preserve">X </w:t>
      </w:r>
      <w:r>
        <w:t xml:space="preserve">learned that </w:t>
      </w:r>
      <w:r>
        <w:rPr>
          <w:color w:val="000000"/>
        </w:rPr>
        <w:t xml:space="preserve">one of </w:t>
      </w:r>
      <w:r w:rsidR="00051F50">
        <w:rPr>
          <w:color w:val="000000"/>
        </w:rPr>
        <w:t>his</w:t>
      </w:r>
      <w:r>
        <w:rPr>
          <w:color w:val="000000"/>
        </w:rPr>
        <w:t xml:space="preserve"> friends was beaten up in a</w:t>
      </w:r>
      <w:r w:rsidRPr="00F55FD7">
        <w:rPr>
          <w:color w:val="000000"/>
        </w:rPr>
        <w:t xml:space="preserve"> metro</w:t>
      </w:r>
      <w:r>
        <w:rPr>
          <w:color w:val="000000"/>
        </w:rPr>
        <w:t xml:space="preserve"> station while</w:t>
      </w:r>
      <w:r w:rsidRPr="00F55FD7">
        <w:rPr>
          <w:color w:val="000000"/>
        </w:rPr>
        <w:t xml:space="preserve"> the police </w:t>
      </w:r>
      <w:r>
        <w:rPr>
          <w:color w:val="000000"/>
        </w:rPr>
        <w:t xml:space="preserve">stood there and </w:t>
      </w:r>
      <w:r w:rsidRPr="00F55FD7">
        <w:rPr>
          <w:color w:val="000000"/>
        </w:rPr>
        <w:t>watched, doing nothing.</w:t>
      </w:r>
      <w:r w:rsidR="00051F50">
        <w:rPr>
          <w:color w:val="000000"/>
        </w:rPr>
        <w:t xml:space="preserve">  Mr. </w:t>
      </w:r>
      <w:r w:rsidR="00C3460A">
        <w:rPr>
          <w:color w:val="000000"/>
        </w:rPr>
        <w:t xml:space="preserve">X </w:t>
      </w:r>
      <w:r>
        <w:rPr>
          <w:color w:val="000000"/>
        </w:rPr>
        <w:t>came to rea</w:t>
      </w:r>
      <w:r>
        <w:rPr>
          <w:color w:val="000000"/>
        </w:rPr>
        <w:t>l</w:t>
      </w:r>
      <w:r>
        <w:rPr>
          <w:color w:val="000000"/>
        </w:rPr>
        <w:t>ize that, l</w:t>
      </w:r>
      <w:r w:rsidR="00EF5934">
        <w:rPr>
          <w:color w:val="000000"/>
        </w:rPr>
        <w:t>ike the police officers in X, the X</w:t>
      </w:r>
      <w:r>
        <w:rPr>
          <w:color w:val="000000"/>
        </w:rPr>
        <w:t xml:space="preserve"> police did not intend to protect gay men from attacks by others, and, indeed, the police </w:t>
      </w:r>
      <w:r w:rsidR="00CD0189">
        <w:rPr>
          <w:color w:val="000000"/>
        </w:rPr>
        <w:t xml:space="preserve">officers </w:t>
      </w:r>
      <w:r>
        <w:rPr>
          <w:color w:val="000000"/>
        </w:rPr>
        <w:t>themselves often harassed and abused gay men.</w:t>
      </w:r>
      <w:r w:rsidR="00051F50">
        <w:rPr>
          <w:rStyle w:val="FootnoteReference"/>
        </w:rPr>
        <w:footnoteReference w:id="30"/>
      </w:r>
    </w:p>
    <w:p w14:paraId="7325E6F2" w14:textId="35B7777F" w:rsidR="00BD57F3" w:rsidRDefault="00051F50" w:rsidP="00C75FCE">
      <w:pPr>
        <w:pStyle w:val="SinglePara"/>
      </w:pPr>
      <w:r>
        <w:t xml:space="preserve">After the terrifying experience </w:t>
      </w:r>
      <w:r w:rsidR="00AF190D">
        <w:t>at</w:t>
      </w:r>
      <w:r w:rsidR="00754E3B">
        <w:t xml:space="preserve"> the X police station, Mr. X</w:t>
      </w:r>
      <w:r>
        <w:t xml:space="preserve"> tried to avoid i</w:t>
      </w:r>
      <w:r>
        <w:t>n</w:t>
      </w:r>
      <w:r>
        <w:t xml:space="preserve">teraction with the police.  In general, he continued to hide the fact that he is gay, rarely going </w:t>
      </w:r>
      <w:r>
        <w:rPr>
          <w:color w:val="000000"/>
        </w:rPr>
        <w:t>to nightclubs and, instead, visiting the few gay-friendly cafes in</w:t>
      </w:r>
      <w:r w:rsidR="00E237F6">
        <w:rPr>
          <w:color w:val="000000"/>
        </w:rPr>
        <w:t xml:space="preserve"> X</w:t>
      </w:r>
      <w:r>
        <w:rPr>
          <w:color w:val="000000"/>
        </w:rPr>
        <w:t>.</w:t>
      </w:r>
      <w:r>
        <w:rPr>
          <w:rStyle w:val="FootnoteReference"/>
          <w:color w:val="000000"/>
        </w:rPr>
        <w:footnoteReference w:id="31"/>
      </w:r>
      <w:r>
        <w:rPr>
          <w:color w:val="000000"/>
        </w:rPr>
        <w:t xml:space="preserve"> </w:t>
      </w:r>
      <w:r w:rsidR="003A242F">
        <w:rPr>
          <w:color w:val="000000"/>
        </w:rPr>
        <w:t>At X</w:t>
      </w:r>
      <w:r w:rsidR="00D41591">
        <w:t xml:space="preserve">, </w:t>
      </w:r>
      <w:r w:rsidR="003A242F">
        <w:t>Mr. X</w:t>
      </w:r>
      <w:r>
        <w:t xml:space="preserve"> and his then-boyfriend v</w:t>
      </w:r>
      <w:r w:rsidR="00D41591">
        <w:t>isited the United States</w:t>
      </w:r>
      <w:r>
        <w:t>, where</w:t>
      </w:r>
      <w:r w:rsidR="0054713E">
        <w:t xml:space="preserve"> Mr. X </w:t>
      </w:r>
      <w:r w:rsidR="00D41591">
        <w:t xml:space="preserve">was amazed at how freely and openly gay men </w:t>
      </w:r>
      <w:r>
        <w:t xml:space="preserve">in </w:t>
      </w:r>
      <w:r w:rsidR="000B6558">
        <w:t xml:space="preserve">X </w:t>
      </w:r>
      <w:r w:rsidR="00D41591">
        <w:t>showed their affection for one another, hol</w:t>
      </w:r>
      <w:r w:rsidR="00D41591">
        <w:t>d</w:t>
      </w:r>
      <w:r w:rsidR="00D41591">
        <w:t>ing hands and kissing in public without fear of being attacked.  He was also i</w:t>
      </w:r>
      <w:r w:rsidR="00D41591">
        <w:t>m</w:t>
      </w:r>
      <w:r w:rsidR="00D41591">
        <w:t>pressed with the large number of gay-friendly places in</w:t>
      </w:r>
      <w:r w:rsidR="00D6015C">
        <w:t xml:space="preserve"> X</w:t>
      </w:r>
      <w:r w:rsidR="00D41591">
        <w:t>, where gay men could be free to be themselves.</w:t>
      </w:r>
      <w:r>
        <w:rPr>
          <w:rStyle w:val="FootnoteReference"/>
        </w:rPr>
        <w:footnoteReference w:id="32"/>
      </w:r>
      <w:r w:rsidR="00D41591">
        <w:t xml:space="preserve"> </w:t>
      </w:r>
    </w:p>
    <w:p w14:paraId="1019B8CB" w14:textId="77777777" w:rsidR="0064479D" w:rsidRDefault="006B02F2" w:rsidP="00C75FCE">
      <w:pPr>
        <w:pStyle w:val="SinglePara"/>
      </w:pPr>
      <w:r>
        <w:t xml:space="preserve">In June 2013, Russia passed its gay propaganda law, which criminalizes any speech or conduct that the police or prosecutors—or even members of the general </w:t>
      </w:r>
      <w:r>
        <w:lastRenderedPageBreak/>
        <w:t>public—deem supportive of homosexuality as “non-traditional sexual relations.”</w:t>
      </w:r>
      <w:r>
        <w:rPr>
          <w:rStyle w:val="FootnoteReference"/>
        </w:rPr>
        <w:footnoteReference w:id="33"/>
      </w:r>
      <w:r>
        <w:t xml:space="preserve">  In the time leading up to the passage of the Russian law in 2013, there were many news reports supporting the proposed law and expressing extreme anti-gay feelings.  Since </w:t>
      </w:r>
      <w:r w:rsidR="003947C6">
        <w:t>its</w:t>
      </w:r>
      <w:r>
        <w:t xml:space="preserve"> passage, the anti-gay law</w:t>
      </w:r>
      <w:r w:rsidR="003947C6">
        <w:t xml:space="preserve"> has</w:t>
      </w:r>
      <w:r>
        <w:t xml:space="preserve"> been used by prosecutors, police, public mi</w:t>
      </w:r>
      <w:r>
        <w:t>n</w:t>
      </w:r>
      <w:r>
        <w:t>isters and private citizens as a justification to persecute, torture, beat and even kill gay men without fear of repercussion.  Police video cameras have appeared in bars, restaurants, apartment lobbies and other public places.</w:t>
      </w:r>
      <w:r w:rsidR="0064479D">
        <w:rPr>
          <w:rStyle w:val="FootnoteReference"/>
        </w:rPr>
        <w:footnoteReference w:id="34"/>
      </w:r>
      <w:r>
        <w:t xml:space="preserve">  </w:t>
      </w:r>
    </w:p>
    <w:p w14:paraId="45D3065B" w14:textId="09FA713C" w:rsidR="0064479D" w:rsidRDefault="006B02F2" w:rsidP="00C75FCE">
      <w:pPr>
        <w:pStyle w:val="SinglePara"/>
      </w:pPr>
      <w:r>
        <w:t>Police frequently raid gay-friendly cafes and other establishments, harassing and bullying patrons and threatening them with arrest on the grounds that the resta</w:t>
      </w:r>
      <w:r>
        <w:t>u</w:t>
      </w:r>
      <w:r>
        <w:t>rant’s decor or even the fact that it exists constitutes gay propaganda and is against the law.</w:t>
      </w:r>
      <w:r w:rsidR="0064479D">
        <w:rPr>
          <w:rStyle w:val="FootnoteReference"/>
        </w:rPr>
        <w:footnoteReference w:id="35"/>
      </w:r>
      <w:r w:rsidR="00837996">
        <w:t xml:space="preserve">  Mr. X </w:t>
      </w:r>
      <w:r w:rsidR="0064479D">
        <w:t>was present on at least two occasions when police raided gay-friendly establishment</w:t>
      </w:r>
      <w:r w:rsidR="003947C6">
        <w:t>s</w:t>
      </w:r>
      <w:r w:rsidR="0064479D">
        <w:t xml:space="preserve"> and held the patrons against their will, while harassing and interrogating them for several hours.</w:t>
      </w:r>
      <w:r w:rsidR="0064479D">
        <w:rPr>
          <w:rStyle w:val="FootnoteReference"/>
        </w:rPr>
        <w:footnoteReference w:id="36"/>
      </w:r>
      <w:r w:rsidR="0064479D">
        <w:t xml:space="preserve">  In one instance, the police grabbed Mr. </w:t>
      </w:r>
      <w:r w:rsidR="00066E0D">
        <w:t xml:space="preserve">X </w:t>
      </w:r>
      <w:r w:rsidR="0064479D">
        <w:t>by the arm so hard that it left a bruise.</w:t>
      </w:r>
      <w:r w:rsidR="0064479D">
        <w:rPr>
          <w:rStyle w:val="FootnoteReference"/>
        </w:rPr>
        <w:footnoteReference w:id="37"/>
      </w:r>
      <w:r w:rsidR="00066E0D">
        <w:t xml:space="preserve">  Mr. X</w:t>
      </w:r>
      <w:r w:rsidR="0064479D">
        <w:t xml:space="preserve"> filed several complaints about the ha</w:t>
      </w:r>
      <w:r w:rsidR="0064479D">
        <w:t>r</w:t>
      </w:r>
      <w:r w:rsidR="0064479D">
        <w:t>assing raids, but prosecutors refused to do anything to stop the raids because the e</w:t>
      </w:r>
      <w:r w:rsidR="0064479D">
        <w:t>s</w:t>
      </w:r>
      <w:r w:rsidR="0064479D">
        <w:t>tablishments were gay-friendly and, according to the police and prosecutors, violated the gay propaganda law by their very existence.</w:t>
      </w:r>
      <w:r w:rsidR="0064479D">
        <w:rPr>
          <w:rStyle w:val="FootnoteReference"/>
        </w:rPr>
        <w:footnoteReference w:id="38"/>
      </w:r>
      <w:r w:rsidR="0064479D">
        <w:t xml:space="preserve">  Indeed, rather than halt the ha</w:t>
      </w:r>
      <w:r w:rsidR="0064479D">
        <w:t>r</w:t>
      </w:r>
      <w:r w:rsidR="0064479D">
        <w:t xml:space="preserve">assment of gay men at gay-friendly establishments, the </w:t>
      </w:r>
      <w:r w:rsidR="00400390">
        <w:t>police continued the haras</w:t>
      </w:r>
      <w:r w:rsidR="00400390">
        <w:t>s</w:t>
      </w:r>
      <w:r w:rsidR="00400390">
        <w:t xml:space="preserve">ing raids and the </w:t>
      </w:r>
      <w:r w:rsidR="0064479D">
        <w:t>state prosecuted those establishments under the gay propaganda law, eventually forcing them to close.</w:t>
      </w:r>
      <w:r w:rsidR="0064479D">
        <w:rPr>
          <w:rStyle w:val="FootnoteReference"/>
        </w:rPr>
        <w:footnoteReference w:id="39"/>
      </w:r>
    </w:p>
    <w:p w14:paraId="4BA7BD41" w14:textId="33956DC2" w:rsidR="00D41591" w:rsidRDefault="00400390" w:rsidP="00C75FCE">
      <w:pPr>
        <w:pStyle w:val="SinglePara"/>
      </w:pPr>
      <w:r>
        <w:t>Until the passage of the ga</w:t>
      </w:r>
      <w:r w:rsidR="00DB5E01">
        <w:t>y propaganda law in 2013, Mr. X</w:t>
      </w:r>
      <w:r>
        <w:t xml:space="preserve"> had not been p</w:t>
      </w:r>
      <w:r>
        <w:t>o</w:t>
      </w:r>
      <w:r>
        <w:t>litically active, and had not openly advocated for gay rights except perhaps to the extent that he had unsuccessfully complained to authorities about police misconduct.  But after the passage of the anti-gay law, he began to attend meetings of gay activist groups that taught gay men how to stay safe in an increasingly toxic political env</w:t>
      </w:r>
      <w:r>
        <w:t>i</w:t>
      </w:r>
      <w:r>
        <w:t>ronment in which anti-gay radicals were targeting gay men for attacks with seeming impunity.  He became even more aware of the seriousness of the threatening situ</w:t>
      </w:r>
      <w:r>
        <w:t>a</w:t>
      </w:r>
      <w:r>
        <w:lastRenderedPageBreak/>
        <w:t>tion that gay men</w:t>
      </w:r>
      <w:r w:rsidR="00922DEE">
        <w:t xml:space="preserve"> in Russia—and particularly in Chechnya </w:t>
      </w:r>
      <w:r>
        <w:t xml:space="preserve">—face when he read about the murder of gay men in </w:t>
      </w:r>
      <w:r w:rsidR="00922DEE">
        <w:t>Chechnya</w:t>
      </w:r>
      <w:r w:rsidR="0089455F">
        <w:t xml:space="preserve"> </w:t>
      </w:r>
      <w:r>
        <w:t>by government authorities.</w:t>
      </w:r>
      <w:r>
        <w:rPr>
          <w:rStyle w:val="FootnoteReference"/>
        </w:rPr>
        <w:footnoteReference w:id="40"/>
      </w:r>
    </w:p>
    <w:p w14:paraId="7D144B8A" w14:textId="64FF7436" w:rsidR="00B67BF9" w:rsidRDefault="00811BB3" w:rsidP="00C75FCE">
      <w:pPr>
        <w:pStyle w:val="SinglePara"/>
      </w:pPr>
      <w:r>
        <w:t>In X,</w:t>
      </w:r>
      <w:r w:rsidR="008E1816">
        <w:t xml:space="preserve"> Mr. X </w:t>
      </w:r>
      <w:r w:rsidR="00400390">
        <w:t>participated in a demonstration to protest the government’s a</w:t>
      </w:r>
      <w:r w:rsidR="00400390">
        <w:t>c</w:t>
      </w:r>
      <w:r w:rsidR="00400390">
        <w:t xml:space="preserve">tions against gay men in </w:t>
      </w:r>
      <w:r w:rsidR="00A20AE4">
        <w:t>Chechnya</w:t>
      </w:r>
      <w:r w:rsidR="008E1816">
        <w:t xml:space="preserve"> and </w:t>
      </w:r>
      <w:r w:rsidR="007D3ED9">
        <w:t>an</w:t>
      </w:r>
      <w:r w:rsidR="00DF07BE">
        <w:t xml:space="preserve"> internet-freedom</w:t>
      </w:r>
      <w:r w:rsidR="008E1816">
        <w:t xml:space="preserve"> </w:t>
      </w:r>
      <w:r w:rsidR="00400390">
        <w:t>rally in support of gay rights.</w:t>
      </w:r>
      <w:r w:rsidR="00400390">
        <w:rPr>
          <w:rStyle w:val="FootnoteReference"/>
        </w:rPr>
        <w:footnoteReference w:id="41"/>
      </w:r>
      <w:r w:rsidR="00400390">
        <w:t xml:space="preserve">  </w:t>
      </w:r>
      <w:r w:rsidR="00D23D80">
        <w:t xml:space="preserve">Mr. </w:t>
      </w:r>
      <w:r w:rsidR="008E1816">
        <w:t xml:space="preserve">X </w:t>
      </w:r>
      <w:r w:rsidR="00D23D80">
        <w:t xml:space="preserve">was photographed at each of these events and the photographs found their way onto the </w:t>
      </w:r>
      <w:r w:rsidR="003947C6">
        <w:t>i</w:t>
      </w:r>
      <w:r w:rsidR="00D23D80">
        <w:t>nternet.</w:t>
      </w:r>
      <w:r w:rsidR="00D23D80">
        <w:rPr>
          <w:rStyle w:val="FootnoteReference"/>
        </w:rPr>
        <w:footnoteReference w:id="42"/>
      </w:r>
      <w:r w:rsidR="00B20323">
        <w:t xml:space="preserve">  The internet-freedom</w:t>
      </w:r>
      <w:r w:rsidR="00D23D80">
        <w:t xml:space="preserve"> rally ended with police arrests of the participants, including Mr.</w:t>
      </w:r>
      <w:r w:rsidR="004020B4">
        <w:t xml:space="preserve"> X</w:t>
      </w:r>
      <w:r w:rsidR="00D23D80">
        <w:t>, and a police threat that the participants would have “problems” if the police saw them at similar rallies in the future.</w:t>
      </w:r>
      <w:r w:rsidR="00D23D80">
        <w:rPr>
          <w:rStyle w:val="FootnoteReference"/>
        </w:rPr>
        <w:footnoteReference w:id="43"/>
      </w:r>
    </w:p>
    <w:p w14:paraId="0EA2E0AD" w14:textId="1E8C0A86" w:rsidR="00BD57F3" w:rsidRDefault="00D23D80" w:rsidP="00C75FCE">
      <w:pPr>
        <w:pStyle w:val="SinglePara"/>
      </w:pPr>
      <w:r>
        <w:t xml:space="preserve">In </w:t>
      </w:r>
      <w:r w:rsidR="00937B94">
        <w:t xml:space="preserve">X, </w:t>
      </w:r>
      <w:r>
        <w:t xml:space="preserve">Mr. </w:t>
      </w:r>
      <w:r w:rsidR="00937B94">
        <w:t xml:space="preserve">X </w:t>
      </w:r>
      <w:r>
        <w:t>began to receive anonymous death threats on his telephone and social media accounts.</w:t>
      </w:r>
      <w:r w:rsidR="003947C6">
        <w:t xml:space="preserve">  Mr. </w:t>
      </w:r>
      <w:r w:rsidR="00F3462B">
        <w:t xml:space="preserve">X </w:t>
      </w:r>
      <w:r w:rsidR="003947C6">
        <w:t>attributed these threats to his having been phot</w:t>
      </w:r>
      <w:r w:rsidR="003947C6">
        <w:t>o</w:t>
      </w:r>
      <w:r w:rsidR="003947C6">
        <w:t>graphed publicly supporting gay rights.</w:t>
      </w:r>
      <w:r>
        <w:t xml:space="preserve">  </w:t>
      </w:r>
      <w:r w:rsidR="003947C6">
        <w:t>One</w:t>
      </w:r>
      <w:r>
        <w:t xml:space="preserve"> message</w:t>
      </w:r>
      <w:r w:rsidR="003947C6">
        <w:t>,</w:t>
      </w:r>
      <w:r>
        <w:t xml:space="preserve"> sent on</w:t>
      </w:r>
      <w:r w:rsidR="00F60AE9">
        <w:t xml:space="preserve"> X</w:t>
      </w:r>
      <w:r>
        <w:t>, read, “we soon will come and kill you fags—prepare yourselves.”</w:t>
      </w:r>
      <w:r>
        <w:rPr>
          <w:rStyle w:val="FootnoteReference"/>
        </w:rPr>
        <w:footnoteReference w:id="44"/>
      </w:r>
      <w:r>
        <w:t xml:space="preserve">  Another message, sent on</w:t>
      </w:r>
      <w:r w:rsidR="00C21369">
        <w:t xml:space="preserve"> X</w:t>
      </w:r>
      <w:r>
        <w:t xml:space="preserve">, said, “you fag first we are going to fuck you up the ass and then cut </w:t>
      </w:r>
      <w:r w:rsidR="00AF190D">
        <w:t>the</w:t>
      </w:r>
      <w:r>
        <w:t xml:space="preserve"> head</w:t>
      </w:r>
      <w:r w:rsidR="00AF190D">
        <w:t>s</w:t>
      </w:r>
      <w:r>
        <w:t xml:space="preserve"> off</w:t>
      </w:r>
      <w:r w:rsidR="004B130C">
        <w:t>,</w:t>
      </w:r>
      <w:r w:rsidR="00AF190D">
        <w:t xml:space="preserve"> of you</w:t>
      </w:r>
      <w:r>
        <w:t xml:space="preserve"> and your friends with flags.”</w:t>
      </w:r>
      <w:r>
        <w:rPr>
          <w:rStyle w:val="FootnoteReference"/>
        </w:rPr>
        <w:footnoteReference w:id="45"/>
      </w:r>
      <w:r>
        <w:t xml:space="preserve"> </w:t>
      </w:r>
      <w:r w:rsidR="00AB1B04">
        <w:t xml:space="preserve"> On</w:t>
      </w:r>
      <w:r w:rsidR="0028330B">
        <w:t xml:space="preserve"> X</w:t>
      </w:r>
      <w:r w:rsidR="00AB1B04">
        <w:t xml:space="preserve">, </w:t>
      </w:r>
      <w:r w:rsidR="00876514">
        <w:t>someone sealed the door to Mr. X</w:t>
      </w:r>
      <w:r w:rsidR="00AB1B04">
        <w:t>’s apar</w:t>
      </w:r>
      <w:r w:rsidR="00AB1B04">
        <w:t>t</w:t>
      </w:r>
      <w:r w:rsidR="00AB1B04">
        <w:t>ment,</w:t>
      </w:r>
      <w:r w:rsidR="00AB1B04">
        <w:rPr>
          <w:rStyle w:val="FootnoteReference"/>
        </w:rPr>
        <w:footnoteReference w:id="46"/>
      </w:r>
      <w:r w:rsidR="00AB1B04">
        <w:t xml:space="preserve"> and on</w:t>
      </w:r>
      <w:r w:rsidR="0075528D">
        <w:t xml:space="preserve"> X</w:t>
      </w:r>
      <w:r w:rsidR="00AB1B04">
        <w:t xml:space="preserve">, Mr. </w:t>
      </w:r>
      <w:r w:rsidR="009B07B8">
        <w:t xml:space="preserve">X </w:t>
      </w:r>
      <w:r w:rsidR="00AB1B04">
        <w:t xml:space="preserve">received another text message that read:  “how did you sleep you faggot? </w:t>
      </w:r>
      <w:r w:rsidR="003947C6">
        <w:t xml:space="preserve"> </w:t>
      </w:r>
      <w:r w:rsidR="00AB1B04">
        <w:t>It’s only the beginning, get ready.”</w:t>
      </w:r>
      <w:r w:rsidR="00AB1B04">
        <w:rPr>
          <w:rStyle w:val="FootnoteReference"/>
        </w:rPr>
        <w:footnoteReference w:id="47"/>
      </w:r>
      <w:r w:rsidR="00AB1B04">
        <w:t xml:space="preserve">  In the days that followed, he received a number of additional anonymous text and </w:t>
      </w:r>
      <w:r w:rsidR="003947C6">
        <w:t>social media</w:t>
      </w:r>
      <w:r w:rsidR="00AB1B04">
        <w:t xml:space="preserve"> threats.  He showed the text messages to the police, but the police refused to help him, telling him directly that “you fags are not going to get any protection from anyone.”</w:t>
      </w:r>
      <w:r w:rsidR="00AB1B04">
        <w:rPr>
          <w:rStyle w:val="FootnoteReference"/>
        </w:rPr>
        <w:footnoteReference w:id="48"/>
      </w:r>
    </w:p>
    <w:p w14:paraId="199203EC" w14:textId="3D5328E4" w:rsidR="008F68F4" w:rsidRDefault="008F68F4" w:rsidP="00C75FCE">
      <w:pPr>
        <w:pStyle w:val="SinglePara"/>
        <w:rPr>
          <w:color w:val="222222"/>
          <w:lang w:val="en"/>
        </w:rPr>
      </w:pPr>
      <w:r>
        <w:rPr>
          <w:color w:val="222222"/>
          <w:lang w:val="en"/>
        </w:rPr>
        <w:t>A few days later, late at night, Mr.</w:t>
      </w:r>
      <w:r w:rsidR="009B07B8">
        <w:rPr>
          <w:color w:val="222222"/>
          <w:lang w:val="en"/>
        </w:rPr>
        <w:t xml:space="preserve"> X</w:t>
      </w:r>
      <w:r>
        <w:rPr>
          <w:color w:val="222222"/>
          <w:lang w:val="en"/>
        </w:rPr>
        <w:t xml:space="preserve">’s apartment doorbell rang, but when he looked through the peephole in the door, he could see no one in the hallway.  A day or two later, the doorbell rang again late at night, but when he got out of bed, he found that the electricity had been turned off in the whole apartment.  He looked through the peephole and again could see no one in the hallway.  He did not go out into the hallway because he was afraid that someone was trying to lure him out of his apartment to attack him.  He became afraid to leave his apartment </w:t>
      </w:r>
      <w:r w:rsidR="00AF190D">
        <w:rPr>
          <w:color w:val="222222"/>
          <w:lang w:val="en"/>
        </w:rPr>
        <w:t>in the evening</w:t>
      </w:r>
      <w:r w:rsidR="00F27AD4">
        <w:rPr>
          <w:color w:val="222222"/>
          <w:lang w:val="en"/>
        </w:rPr>
        <w:t xml:space="preserve"> or at night</w:t>
      </w:r>
      <w:r>
        <w:rPr>
          <w:color w:val="222222"/>
          <w:lang w:val="en"/>
        </w:rPr>
        <w:t xml:space="preserve">.  He realized that it was dangerous for him to stay in </w:t>
      </w:r>
      <w:r w:rsidR="003947C6">
        <w:rPr>
          <w:color w:val="222222"/>
          <w:lang w:val="en"/>
        </w:rPr>
        <w:t>his</w:t>
      </w:r>
      <w:r>
        <w:rPr>
          <w:color w:val="222222"/>
          <w:lang w:val="en"/>
        </w:rPr>
        <w:t xml:space="preserve"> apartment, and, in</w:t>
      </w:r>
      <w:r w:rsidR="00F6524C">
        <w:rPr>
          <w:color w:val="222222"/>
          <w:lang w:val="en"/>
        </w:rPr>
        <w:t xml:space="preserve"> </w:t>
      </w:r>
      <w:r w:rsidR="00F6524C">
        <w:rPr>
          <w:color w:val="222222"/>
          <w:lang w:val="en"/>
        </w:rPr>
        <w:lastRenderedPageBreak/>
        <w:t>X</w:t>
      </w:r>
      <w:r>
        <w:rPr>
          <w:color w:val="222222"/>
          <w:lang w:val="en"/>
        </w:rPr>
        <w:t xml:space="preserve">, he moved to an </w:t>
      </w:r>
      <w:r w:rsidR="008431F7">
        <w:rPr>
          <w:color w:val="222222"/>
          <w:lang w:val="en"/>
        </w:rPr>
        <w:t>apartment that he rented for two</w:t>
      </w:r>
      <w:r>
        <w:rPr>
          <w:color w:val="222222"/>
          <w:lang w:val="en"/>
        </w:rPr>
        <w:t xml:space="preserve"> months, hoping that, during that time, the threats would stop.</w:t>
      </w:r>
      <w:r>
        <w:rPr>
          <w:rStyle w:val="FootnoteReference"/>
          <w:color w:val="222222"/>
          <w:lang w:val="en"/>
        </w:rPr>
        <w:footnoteReference w:id="49"/>
      </w:r>
      <w:r>
        <w:rPr>
          <w:color w:val="222222"/>
          <w:lang w:val="en"/>
        </w:rPr>
        <w:t xml:space="preserve">  </w:t>
      </w:r>
    </w:p>
    <w:p w14:paraId="11AD3B9F" w14:textId="646AB8E9" w:rsidR="00BD57F3" w:rsidRDefault="008F68F4" w:rsidP="00C75FCE">
      <w:pPr>
        <w:pStyle w:val="SinglePara"/>
        <w:rPr>
          <w:color w:val="222222"/>
          <w:lang w:val="en"/>
        </w:rPr>
      </w:pPr>
      <w:r>
        <w:rPr>
          <w:color w:val="222222"/>
          <w:lang w:val="en"/>
        </w:rPr>
        <w:t>But the threats did not stop.  In</w:t>
      </w:r>
      <w:r w:rsidR="007239E4">
        <w:rPr>
          <w:color w:val="222222"/>
          <w:lang w:val="en"/>
        </w:rPr>
        <w:t xml:space="preserve"> X</w:t>
      </w:r>
      <w:r>
        <w:rPr>
          <w:color w:val="222222"/>
          <w:lang w:val="en"/>
        </w:rPr>
        <w:t xml:space="preserve">, Mr. </w:t>
      </w:r>
      <w:r w:rsidR="00264CD6">
        <w:rPr>
          <w:color w:val="222222"/>
          <w:lang w:val="en"/>
        </w:rPr>
        <w:t xml:space="preserve">X </w:t>
      </w:r>
      <w:r>
        <w:rPr>
          <w:color w:val="222222"/>
          <w:lang w:val="en"/>
        </w:rPr>
        <w:t xml:space="preserve">responded to a request to help </w:t>
      </w:r>
      <w:r>
        <w:t xml:space="preserve">two Russian gay activists, </w:t>
      </w:r>
      <w:r w:rsidR="00880698">
        <w:t xml:space="preserve">Pavel </w:t>
      </w:r>
      <w:proofErr w:type="spellStart"/>
      <w:r w:rsidR="00880698">
        <w:t>Stotsko</w:t>
      </w:r>
      <w:proofErr w:type="spellEnd"/>
      <w:r w:rsidR="00880698">
        <w:t xml:space="preserve"> and Yevgeny </w:t>
      </w:r>
      <w:proofErr w:type="spellStart"/>
      <w:r w:rsidR="00880698">
        <w:t>Voitsekhovsky</w:t>
      </w:r>
      <w:proofErr w:type="spellEnd"/>
      <w:r>
        <w:t xml:space="preserve">, who had </w:t>
      </w:r>
      <w:r w:rsidR="003947C6">
        <w:t>been w</w:t>
      </w:r>
      <w:r>
        <w:t>e</w:t>
      </w:r>
      <w:r w:rsidR="003947C6">
        <w:t>d</w:t>
      </w:r>
      <w:r>
        <w:t xml:space="preserve"> in </w:t>
      </w:r>
      <w:r w:rsidR="008B0AEC">
        <w:t>Denmark</w:t>
      </w:r>
      <w:r w:rsidR="004D19C8">
        <w:t xml:space="preserve"> </w:t>
      </w:r>
      <w:r>
        <w:t>and had registered their marriage in Russia.</w:t>
      </w:r>
      <w:r>
        <w:rPr>
          <w:rStyle w:val="FootnoteReference"/>
          <w:color w:val="222222"/>
          <w:lang w:val="en"/>
        </w:rPr>
        <w:footnoteReference w:id="50"/>
      </w:r>
      <w:r>
        <w:t xml:space="preserve">  </w:t>
      </w:r>
      <w:r>
        <w:rPr>
          <w:color w:val="222222"/>
          <w:lang w:val="en"/>
        </w:rPr>
        <w:t>And on</w:t>
      </w:r>
      <w:r w:rsidR="00A26900">
        <w:rPr>
          <w:color w:val="222222"/>
          <w:lang w:val="en"/>
        </w:rPr>
        <w:t xml:space="preserve"> X</w:t>
      </w:r>
      <w:r>
        <w:rPr>
          <w:color w:val="222222"/>
          <w:lang w:val="en"/>
        </w:rPr>
        <w:t xml:space="preserve">, he received another threatening message, which seemed to refer to his response to the request of </w:t>
      </w:r>
      <w:r w:rsidR="00880698">
        <w:rPr>
          <w:color w:val="222222"/>
          <w:lang w:val="en"/>
        </w:rPr>
        <w:t>Pavel</w:t>
      </w:r>
      <w:r w:rsidR="00D05538">
        <w:rPr>
          <w:color w:val="222222"/>
          <w:lang w:val="en"/>
        </w:rPr>
        <w:t xml:space="preserve"> </w:t>
      </w:r>
      <w:r>
        <w:rPr>
          <w:color w:val="222222"/>
          <w:lang w:val="en"/>
        </w:rPr>
        <w:t xml:space="preserve">and </w:t>
      </w:r>
      <w:r w:rsidR="00880698">
        <w:rPr>
          <w:color w:val="222222"/>
          <w:lang w:val="en"/>
        </w:rPr>
        <w:t>Yevgeny</w:t>
      </w:r>
      <w:r w:rsidR="00D05538">
        <w:rPr>
          <w:color w:val="222222"/>
          <w:lang w:val="en"/>
        </w:rPr>
        <w:t xml:space="preserve"> </w:t>
      </w:r>
      <w:r>
        <w:rPr>
          <w:color w:val="222222"/>
          <w:lang w:val="en"/>
        </w:rPr>
        <w:t>for support.  The message said, “</w:t>
      </w:r>
      <w:r>
        <w:t>If you, faggot, don’t understand that marriage is holy then we will cure you.  Get ready.”</w:t>
      </w:r>
      <w:r>
        <w:rPr>
          <w:rStyle w:val="FootnoteReference"/>
        </w:rPr>
        <w:footnoteReference w:id="51"/>
      </w:r>
      <w:r w:rsidR="00082F74">
        <w:t xml:space="preserve">  </w:t>
      </w:r>
      <w:r w:rsidR="00082F74">
        <w:rPr>
          <w:color w:val="222222"/>
          <w:lang w:val="en"/>
        </w:rPr>
        <w:t>On</w:t>
      </w:r>
      <w:r w:rsidR="00C73C61">
        <w:rPr>
          <w:color w:val="222222"/>
          <w:lang w:val="en"/>
        </w:rPr>
        <w:t xml:space="preserve"> X</w:t>
      </w:r>
      <w:r w:rsidR="00082F74">
        <w:rPr>
          <w:color w:val="222222"/>
          <w:lang w:val="en"/>
        </w:rPr>
        <w:t xml:space="preserve">, </w:t>
      </w:r>
      <w:r w:rsidR="00F27AD4">
        <w:rPr>
          <w:color w:val="222222"/>
          <w:lang w:val="en"/>
        </w:rPr>
        <w:t xml:space="preserve">when </w:t>
      </w:r>
      <w:r w:rsidR="00082F74">
        <w:rPr>
          <w:color w:val="222222"/>
          <w:lang w:val="en"/>
        </w:rPr>
        <w:t xml:space="preserve">returning home, Mr. </w:t>
      </w:r>
      <w:r w:rsidR="00C73C61">
        <w:rPr>
          <w:color w:val="222222"/>
          <w:lang w:val="en"/>
        </w:rPr>
        <w:t>X</w:t>
      </w:r>
      <w:r w:rsidR="00082F74">
        <w:rPr>
          <w:color w:val="222222"/>
          <w:lang w:val="en"/>
        </w:rPr>
        <w:t xml:space="preserve"> noticed two unfamiliar men in his apartment building, one of whom appeared to be from</w:t>
      </w:r>
      <w:r w:rsidR="000471BC">
        <w:rPr>
          <w:color w:val="222222"/>
          <w:lang w:val="en"/>
        </w:rPr>
        <w:t xml:space="preserve"> Chechnya</w:t>
      </w:r>
      <w:r w:rsidR="00082F74">
        <w:rPr>
          <w:color w:val="222222"/>
          <w:lang w:val="en"/>
        </w:rPr>
        <w:t>.  They stopped talking when they saw Mr.</w:t>
      </w:r>
      <w:r w:rsidR="00C73C61">
        <w:rPr>
          <w:color w:val="222222"/>
          <w:lang w:val="en"/>
        </w:rPr>
        <w:t xml:space="preserve"> X</w:t>
      </w:r>
      <w:r w:rsidR="00082F74">
        <w:rPr>
          <w:color w:val="222222"/>
          <w:lang w:val="en"/>
        </w:rPr>
        <w:t xml:space="preserve">, as if they were waiting for him.  Mr. </w:t>
      </w:r>
      <w:r w:rsidR="00C73C61">
        <w:rPr>
          <w:color w:val="222222"/>
          <w:lang w:val="en"/>
        </w:rPr>
        <w:t xml:space="preserve">X </w:t>
      </w:r>
      <w:r w:rsidR="00082F74">
        <w:rPr>
          <w:color w:val="222222"/>
          <w:lang w:val="en"/>
        </w:rPr>
        <w:t>felt that it wa</w:t>
      </w:r>
      <w:bookmarkStart w:id="0" w:name="_GoBack"/>
      <w:bookmarkEnd w:id="0"/>
      <w:r w:rsidR="00082F74">
        <w:rPr>
          <w:color w:val="222222"/>
          <w:lang w:val="en"/>
        </w:rPr>
        <w:t>s dangerous to stay in his apartment any longer and, on</w:t>
      </w:r>
      <w:r w:rsidR="00C73C61">
        <w:t xml:space="preserve"> X</w:t>
      </w:r>
      <w:r w:rsidR="00082F74">
        <w:t>, he</w:t>
      </w:r>
      <w:r w:rsidR="00082F74">
        <w:rPr>
          <w:color w:val="222222"/>
          <w:lang w:val="en"/>
        </w:rPr>
        <w:t xml:space="preserve"> moved again, this time to </w:t>
      </w:r>
      <w:r w:rsidR="008431F7">
        <w:rPr>
          <w:color w:val="222222"/>
          <w:lang w:val="en"/>
        </w:rPr>
        <w:t>a temporary apartment for a week</w:t>
      </w:r>
      <w:r w:rsidR="00082F74">
        <w:rPr>
          <w:color w:val="222222"/>
          <w:lang w:val="en"/>
        </w:rPr>
        <w:t xml:space="preserve"> that he found through the Airbnb website.</w:t>
      </w:r>
      <w:r w:rsidR="00082F74">
        <w:rPr>
          <w:rStyle w:val="FootnoteReference"/>
          <w:color w:val="222222"/>
          <w:lang w:val="en"/>
        </w:rPr>
        <w:footnoteReference w:id="52"/>
      </w:r>
    </w:p>
    <w:p w14:paraId="3DD4EFCB" w14:textId="7679014F" w:rsidR="00082F74" w:rsidRDefault="00082F74" w:rsidP="00C75FCE">
      <w:pPr>
        <w:pStyle w:val="SinglePara"/>
      </w:pPr>
      <w:r>
        <w:rPr>
          <w:color w:val="222222"/>
          <w:lang w:val="en"/>
        </w:rPr>
        <w:t xml:space="preserve">Nevertheless, the </w:t>
      </w:r>
      <w:r w:rsidR="00F27AD4">
        <w:rPr>
          <w:color w:val="222222"/>
          <w:lang w:val="en"/>
        </w:rPr>
        <w:t xml:space="preserve">very next </w:t>
      </w:r>
      <w:r>
        <w:rPr>
          <w:color w:val="222222"/>
          <w:lang w:val="en"/>
        </w:rPr>
        <w:t>evening</w:t>
      </w:r>
      <w:r>
        <w:t>—</w:t>
      </w:r>
      <w:r w:rsidR="00C73C61">
        <w:t>X</w:t>
      </w:r>
      <w:r>
        <w:rPr>
          <w:color w:val="222222"/>
          <w:lang w:val="en"/>
        </w:rPr>
        <w:t>—</w:t>
      </w:r>
      <w:r>
        <w:t xml:space="preserve">Mr. </w:t>
      </w:r>
      <w:r w:rsidR="00C73C61">
        <w:t xml:space="preserve">X </w:t>
      </w:r>
      <w:r w:rsidRPr="00EF154A">
        <w:t xml:space="preserve">was </w:t>
      </w:r>
      <w:r>
        <w:t>brutally attacked and beaten as he left t</w:t>
      </w:r>
      <w:r w:rsidRPr="00EF154A">
        <w:t xml:space="preserve">he </w:t>
      </w:r>
      <w:r>
        <w:t xml:space="preserve">Airbnb apartment.  </w:t>
      </w:r>
      <w:r w:rsidR="00833A16">
        <w:t xml:space="preserve">One of his attackers </w:t>
      </w:r>
      <w:r>
        <w:t xml:space="preserve">struck </w:t>
      </w:r>
      <w:r w:rsidR="00833A16">
        <w:t>him</w:t>
      </w:r>
      <w:r>
        <w:t xml:space="preserve"> hard on the back of </w:t>
      </w:r>
      <w:r w:rsidR="00833A16">
        <w:t>the</w:t>
      </w:r>
      <w:r>
        <w:t xml:space="preserve"> head, causing </w:t>
      </w:r>
      <w:r w:rsidR="00833A16">
        <w:t>him</w:t>
      </w:r>
      <w:r>
        <w:t xml:space="preserve"> to fall, knees first, onto a patch of jagged ice.  Th</w:t>
      </w:r>
      <w:r w:rsidR="00833A16">
        <w:t>r</w:t>
      </w:r>
      <w:r>
        <w:t>e</w:t>
      </w:r>
      <w:r w:rsidR="00833A16">
        <w:t>e</w:t>
      </w:r>
      <w:r>
        <w:t xml:space="preserve"> men </w:t>
      </w:r>
      <w:r w:rsidR="00833A16">
        <w:t xml:space="preserve">then </w:t>
      </w:r>
      <w:r>
        <w:t xml:space="preserve">began to insult </w:t>
      </w:r>
      <w:r w:rsidR="00833A16">
        <w:t>Mr.</w:t>
      </w:r>
      <w:r w:rsidR="00C73C61">
        <w:t xml:space="preserve"> X</w:t>
      </w:r>
      <w:r w:rsidR="00833A16">
        <w:t xml:space="preserve">, </w:t>
      </w:r>
      <w:r>
        <w:t>call</w:t>
      </w:r>
      <w:r w:rsidR="00833A16">
        <w:t>ing him</w:t>
      </w:r>
      <w:r>
        <w:t xml:space="preserve"> a fag.  They kicked </w:t>
      </w:r>
      <w:r w:rsidR="00833A16">
        <w:t>him as he</w:t>
      </w:r>
      <w:r>
        <w:t xml:space="preserve"> lay on the </w:t>
      </w:r>
      <w:r w:rsidR="00F27AD4">
        <w:t>ground</w:t>
      </w:r>
      <w:r>
        <w:t xml:space="preserve"> trying to protect </w:t>
      </w:r>
      <w:proofErr w:type="gramStart"/>
      <w:r w:rsidR="00833A16">
        <w:t>hi</w:t>
      </w:r>
      <w:r>
        <w:t>mself</w:t>
      </w:r>
      <w:proofErr w:type="gramEnd"/>
      <w:r>
        <w:t xml:space="preserve"> until </w:t>
      </w:r>
      <w:r w:rsidR="00833A16">
        <w:t>he</w:t>
      </w:r>
      <w:r>
        <w:t xml:space="preserve"> lost consciousness.  When </w:t>
      </w:r>
      <w:r w:rsidR="00833A16">
        <w:t>he</w:t>
      </w:r>
      <w:r>
        <w:t xml:space="preserve"> regained co</w:t>
      </w:r>
      <w:r>
        <w:t>n</w:t>
      </w:r>
      <w:r>
        <w:t xml:space="preserve">sciousness, the men had left and </w:t>
      </w:r>
      <w:r w:rsidR="00833A16">
        <w:t>he</w:t>
      </w:r>
      <w:r>
        <w:t xml:space="preserve"> was alone on the street</w:t>
      </w:r>
      <w:r w:rsidR="00833A16">
        <w:t xml:space="preserve">, in serious pain and </w:t>
      </w:r>
      <w:r>
        <w:t>terr</w:t>
      </w:r>
      <w:r>
        <w:t>i</w:t>
      </w:r>
      <w:r>
        <w:t xml:space="preserve">fied that </w:t>
      </w:r>
      <w:r w:rsidR="00833A16">
        <w:t>h</w:t>
      </w:r>
      <w:r>
        <w:t>e would</w:t>
      </w:r>
      <w:r w:rsidR="00833A16">
        <w:t xml:space="preserve"> be</w:t>
      </w:r>
      <w:r>
        <w:t xml:space="preserve"> attack</w:t>
      </w:r>
      <w:r w:rsidR="00833A16">
        <w:t>ed</w:t>
      </w:r>
      <w:r>
        <w:t xml:space="preserve"> again.</w:t>
      </w:r>
      <w:r w:rsidR="00833A16">
        <w:rPr>
          <w:rStyle w:val="FootnoteReference"/>
          <w:color w:val="222222"/>
          <w:lang w:val="en"/>
        </w:rPr>
        <w:footnoteReference w:id="53"/>
      </w:r>
      <w:r w:rsidR="00833A16">
        <w:t xml:space="preserve">  The next day, he received another threatening text message that read:  “You thought we wouldn’t find you, fag.  This is just the b</w:t>
      </w:r>
      <w:r w:rsidR="00833A16">
        <w:t>e</w:t>
      </w:r>
      <w:r w:rsidR="00833A16">
        <w:t>ginning.  You will have to answer for every complaint that you filed, corpse.”</w:t>
      </w:r>
      <w:r w:rsidR="00833A16">
        <w:rPr>
          <w:rStyle w:val="FootnoteReference"/>
        </w:rPr>
        <w:footnoteReference w:id="54"/>
      </w:r>
      <w:r w:rsidR="00833A16" w:rsidRPr="00EF154A">
        <w:t xml:space="preserve"> </w:t>
      </w:r>
      <w:r w:rsidR="00833A16">
        <w:t xml:space="preserve"> And a week later, on</w:t>
      </w:r>
      <w:r w:rsidR="00152A7F">
        <w:t xml:space="preserve"> X</w:t>
      </w:r>
      <w:r w:rsidR="00833A16">
        <w:t>, he received still another threatening message:  “Are you still alive?  You don’t have long, faggot.”</w:t>
      </w:r>
      <w:r w:rsidR="00833A16">
        <w:rPr>
          <w:rStyle w:val="FootnoteReference"/>
        </w:rPr>
        <w:footnoteReference w:id="55"/>
      </w:r>
    </w:p>
    <w:p w14:paraId="2D001EF5" w14:textId="7E7EF4E9" w:rsidR="00BD57F3" w:rsidRDefault="00833A16" w:rsidP="00C75FCE">
      <w:pPr>
        <w:pStyle w:val="SinglePara"/>
      </w:pPr>
      <w:r>
        <w:t xml:space="preserve">These threats frightened Mr. </w:t>
      </w:r>
      <w:r w:rsidR="00177BA4">
        <w:t xml:space="preserve">X </w:t>
      </w:r>
      <w:r>
        <w:t>so much that he left Russia and came to the United States on</w:t>
      </w:r>
      <w:r w:rsidR="00177BA4">
        <w:t xml:space="preserve"> X</w:t>
      </w:r>
      <w:r>
        <w:t>.</w:t>
      </w:r>
      <w:r w:rsidR="00177BA4">
        <w:t xml:space="preserve">  Initially, Mr. X </w:t>
      </w:r>
      <w:r w:rsidR="00676440">
        <w:t>planned to stay in the United States for three weeks</w:t>
      </w:r>
      <w:r w:rsidR="00C174C2">
        <w:t xml:space="preserve">, hoping to put physical and psychological distance between </w:t>
      </w:r>
      <w:proofErr w:type="gramStart"/>
      <w:r w:rsidR="00C174C2">
        <w:t>himself</w:t>
      </w:r>
      <w:proofErr w:type="gramEnd"/>
      <w:r w:rsidR="00C174C2">
        <w:t xml:space="preserve"> and the anti-gay attacks and threats he was experiencing in</w:t>
      </w:r>
      <w:r w:rsidR="00177BA4">
        <w:t xml:space="preserve"> X</w:t>
      </w:r>
      <w:r w:rsidR="00C174C2">
        <w:t>.</w:t>
      </w:r>
      <w:r>
        <w:rPr>
          <w:rStyle w:val="FootnoteReference"/>
        </w:rPr>
        <w:footnoteReference w:id="56"/>
      </w:r>
      <w:r>
        <w:t xml:space="preserve">  </w:t>
      </w:r>
      <w:r w:rsidR="00C174C2">
        <w:t xml:space="preserve">But, despite the physical </w:t>
      </w:r>
      <w:r w:rsidR="00C174C2">
        <w:lastRenderedPageBreak/>
        <w:t>distance from Russia, he continued to receive threatening messages on my phone.  On</w:t>
      </w:r>
      <w:r w:rsidR="00E37B12">
        <w:t xml:space="preserve"> X</w:t>
      </w:r>
      <w:r w:rsidR="00C174C2">
        <w:t>, he got a text message that said, “Motherfucker where are you hiding</w:t>
      </w:r>
      <w:r w:rsidR="00F27AD4">
        <w:t xml:space="preserve"> w</w:t>
      </w:r>
      <w:r w:rsidR="00C174C2">
        <w:t>e will find you anyway.”  And on</w:t>
      </w:r>
      <w:r w:rsidR="00E37B12">
        <w:t xml:space="preserve"> X</w:t>
      </w:r>
      <w:r w:rsidR="00C174C2">
        <w:t>, he received a text message saying, “We will find you anyway and we will cut your ass up into pieces.”</w:t>
      </w:r>
      <w:r w:rsidR="00C174C2">
        <w:rPr>
          <w:rStyle w:val="FootnoteReference"/>
        </w:rPr>
        <w:footnoteReference w:id="57"/>
      </w:r>
      <w:r>
        <w:t xml:space="preserve"> </w:t>
      </w:r>
    </w:p>
    <w:p w14:paraId="78B0592B" w14:textId="28289F45" w:rsidR="00082F74" w:rsidRDefault="00C174C2" w:rsidP="00C75FCE">
      <w:pPr>
        <w:pStyle w:val="SinglePara"/>
      </w:pPr>
      <w:r>
        <w:t xml:space="preserve">Coming to the United States, where he did not feel physically threatened with harm as he walked around </w:t>
      </w:r>
      <w:r w:rsidR="00CB5FBD">
        <w:t xml:space="preserve">X </w:t>
      </w:r>
      <w:r>
        <w:t xml:space="preserve">and </w:t>
      </w:r>
      <w:r w:rsidR="00CB5FBD">
        <w:t>X</w:t>
      </w:r>
      <w:r>
        <w:t xml:space="preserve">, Mr. </w:t>
      </w:r>
      <w:r w:rsidR="00CB5FBD">
        <w:t xml:space="preserve">X </w:t>
      </w:r>
      <w:r>
        <w:t>recognized the depth of his fear in Russia.  He realized that, in Russia, he was constantly afraid of being watched, followed, a</w:t>
      </w:r>
      <w:r>
        <w:t>t</w:t>
      </w:r>
      <w:r>
        <w:t>tacked and perhaps even killed because he is gay and because the governments of Russia and Belarus have criminalized any conduct that they deem supportive of gay rights and gay people, so that the police and the courts and the prosecutors refuse to help or protect gay men from brutal attacks and murder.</w:t>
      </w:r>
      <w:r>
        <w:rPr>
          <w:rStyle w:val="FootnoteReference"/>
        </w:rPr>
        <w:footnoteReference w:id="58"/>
      </w:r>
      <w:r>
        <w:t xml:space="preserve">  That fear of future pers</w:t>
      </w:r>
      <w:r>
        <w:t>e</w:t>
      </w:r>
      <w:r>
        <w:t xml:space="preserve">cution because he is gay led Mr. </w:t>
      </w:r>
      <w:r w:rsidR="00127602">
        <w:t xml:space="preserve">X </w:t>
      </w:r>
      <w:r>
        <w:t>to seek asylum in the United States.</w:t>
      </w:r>
    </w:p>
    <w:p w14:paraId="2059C15B" w14:textId="59EED5D9" w:rsidR="00082F74" w:rsidRDefault="00076A90" w:rsidP="0074723E">
      <w:pPr>
        <w:pStyle w:val="HeadingLeftBold"/>
      </w:pPr>
      <w:r>
        <w:t>III.</w:t>
      </w:r>
      <w:r>
        <w:tab/>
        <w:t>MR. X</w:t>
      </w:r>
      <w:r w:rsidR="0074723E">
        <w:t>’S ELIGIBILITY FOR ASYLUM</w:t>
      </w:r>
    </w:p>
    <w:p w14:paraId="2E5B87EB" w14:textId="77777777" w:rsidR="00D75C9D" w:rsidRDefault="00AD6234" w:rsidP="00C75FCE">
      <w:pPr>
        <w:pStyle w:val="SinglePara"/>
        <w:rPr>
          <w:rFonts w:asciiTheme="minorHAnsi" w:hAnsiTheme="minorHAnsi" w:cstheme="minorHAnsi"/>
        </w:rPr>
      </w:pPr>
      <w:r>
        <w:t>An applicant is eligible for asylum if he shows that he is a “refugee,” as that term is defined by the Immigration and Naturalization Act (“INA”).  Under the INA, a refugee is defined as “</w:t>
      </w:r>
      <w:r w:rsidRPr="00AD6234">
        <w:rPr>
          <w:rFonts w:asciiTheme="minorHAnsi" w:hAnsiTheme="minorHAnsi" w:cstheme="minorHAnsi"/>
          <w:color w:val="333333"/>
          <w:lang w:val="en"/>
        </w:rPr>
        <w:t>any person who is outside any country of such person’s n</w:t>
      </w:r>
      <w:r w:rsidRPr="00AD6234">
        <w:rPr>
          <w:rFonts w:asciiTheme="minorHAnsi" w:hAnsiTheme="minorHAnsi" w:cstheme="minorHAnsi"/>
          <w:color w:val="333333"/>
          <w:lang w:val="en"/>
        </w:rPr>
        <w:t>a</w:t>
      </w:r>
      <w:r w:rsidRPr="00AD6234">
        <w:rPr>
          <w:rFonts w:asciiTheme="minorHAnsi" w:hAnsiTheme="minorHAnsi" w:cstheme="minorHAnsi"/>
          <w:color w:val="333333"/>
          <w:lang w:val="en"/>
        </w:rPr>
        <w:t xml:space="preserve">tionality </w:t>
      </w:r>
      <w:r w:rsidR="00D75C9D">
        <w:rPr>
          <w:rFonts w:asciiTheme="minorHAnsi" w:hAnsiTheme="minorHAnsi" w:cstheme="minorHAnsi"/>
          <w:color w:val="333333"/>
          <w:lang w:val="en"/>
        </w:rPr>
        <w:t>. . .</w:t>
      </w:r>
      <w:r w:rsidRPr="00AD6234">
        <w:rPr>
          <w:rFonts w:asciiTheme="minorHAnsi" w:hAnsiTheme="minorHAnsi" w:cstheme="minorHAnsi"/>
          <w:color w:val="333333"/>
          <w:lang w:val="en"/>
        </w:rPr>
        <w:t xml:space="preserve"> and who is unable or unwilling to return to, and is unable or unwilling to avail himself or herself of the protection of, that country because of persecution or a well-founded fear of persecution on account of race, religion, nationality, membe</w:t>
      </w:r>
      <w:r w:rsidRPr="00AD6234">
        <w:rPr>
          <w:rFonts w:asciiTheme="minorHAnsi" w:hAnsiTheme="minorHAnsi" w:cstheme="minorHAnsi"/>
          <w:color w:val="333333"/>
          <w:lang w:val="en"/>
        </w:rPr>
        <w:t>r</w:t>
      </w:r>
      <w:r w:rsidRPr="00AD6234">
        <w:rPr>
          <w:rFonts w:asciiTheme="minorHAnsi" w:hAnsiTheme="minorHAnsi" w:cstheme="minorHAnsi"/>
          <w:color w:val="333333"/>
          <w:lang w:val="en"/>
        </w:rPr>
        <w:t>ship in a particular social group, or political opinion</w:t>
      </w:r>
      <w:r w:rsidR="00D75C9D">
        <w:rPr>
          <w:rFonts w:asciiTheme="minorHAnsi" w:hAnsiTheme="minorHAnsi" w:cstheme="minorHAnsi"/>
          <w:color w:val="333333"/>
          <w:lang w:val="en"/>
        </w:rPr>
        <w:t>.”</w:t>
      </w:r>
      <w:r w:rsidR="00D75C9D">
        <w:rPr>
          <w:rStyle w:val="FootnoteReference"/>
          <w:rFonts w:asciiTheme="minorHAnsi" w:hAnsiTheme="minorHAnsi" w:cstheme="minorHAnsi"/>
          <w:color w:val="333333"/>
          <w:lang w:val="en"/>
        </w:rPr>
        <w:footnoteReference w:id="59"/>
      </w:r>
      <w:r w:rsidRPr="00AD6234">
        <w:rPr>
          <w:rFonts w:asciiTheme="minorHAnsi" w:hAnsiTheme="minorHAnsi" w:cstheme="minorHAnsi"/>
        </w:rPr>
        <w:t xml:space="preserve"> </w:t>
      </w:r>
      <w:r w:rsidR="00D75C9D">
        <w:rPr>
          <w:rFonts w:asciiTheme="minorHAnsi" w:hAnsiTheme="minorHAnsi" w:cstheme="minorHAnsi"/>
        </w:rPr>
        <w:t xml:space="preserve"> </w:t>
      </w:r>
    </w:p>
    <w:p w14:paraId="0879FD45" w14:textId="40C47141" w:rsidR="00082F74" w:rsidRDefault="00D75C9D" w:rsidP="00C75FCE">
      <w:pPr>
        <w:pStyle w:val="SinglePara"/>
        <w:rPr>
          <w:rFonts w:asciiTheme="minorHAnsi" w:hAnsiTheme="minorHAnsi" w:cstheme="minorHAnsi"/>
        </w:rPr>
      </w:pPr>
      <w:r>
        <w:rPr>
          <w:rFonts w:asciiTheme="minorHAnsi" w:hAnsiTheme="minorHAnsi" w:cstheme="minorHAnsi"/>
        </w:rPr>
        <w:t>As</w:t>
      </w:r>
      <w:r w:rsidR="00F43D66">
        <w:rPr>
          <w:rFonts w:asciiTheme="minorHAnsi" w:hAnsiTheme="minorHAnsi" w:cstheme="minorHAnsi"/>
        </w:rPr>
        <w:t xml:space="preserve"> demonstrated below, Mr. X</w:t>
      </w:r>
      <w:r>
        <w:rPr>
          <w:rFonts w:asciiTheme="minorHAnsi" w:hAnsiTheme="minorHAnsi" w:cstheme="minorHAnsi"/>
        </w:rPr>
        <w:t xml:space="preserve"> qualifies as a refugee because he is unable and unwilling to return to, or to avail himself of the protection of, Russia or Belarus because of his past persecution and his well-founded fear of future persecution on account of his membership in a particular social group, namely, gay men.  The go</w:t>
      </w:r>
      <w:r>
        <w:rPr>
          <w:rFonts w:asciiTheme="minorHAnsi" w:hAnsiTheme="minorHAnsi" w:cstheme="minorHAnsi"/>
        </w:rPr>
        <w:t>v</w:t>
      </w:r>
      <w:r>
        <w:rPr>
          <w:rFonts w:asciiTheme="minorHAnsi" w:hAnsiTheme="minorHAnsi" w:cstheme="minorHAnsi"/>
        </w:rPr>
        <w:t>ernments of both Russia and Belarus allow—indeed, encourage and actively partic</w:t>
      </w:r>
      <w:r>
        <w:rPr>
          <w:rFonts w:asciiTheme="minorHAnsi" w:hAnsiTheme="minorHAnsi" w:cstheme="minorHAnsi"/>
        </w:rPr>
        <w:t>i</w:t>
      </w:r>
      <w:r>
        <w:rPr>
          <w:rFonts w:asciiTheme="minorHAnsi" w:hAnsiTheme="minorHAnsi" w:cstheme="minorHAnsi"/>
        </w:rPr>
        <w:t xml:space="preserve">pate in—the persecution of gay men with impunity.  As a gay man, Mr. </w:t>
      </w:r>
      <w:r w:rsidR="004A6D38">
        <w:rPr>
          <w:rFonts w:asciiTheme="minorHAnsi" w:hAnsiTheme="minorHAnsi" w:cstheme="minorHAnsi"/>
        </w:rPr>
        <w:t xml:space="preserve">X </w:t>
      </w:r>
      <w:r>
        <w:rPr>
          <w:rFonts w:asciiTheme="minorHAnsi" w:hAnsiTheme="minorHAnsi" w:cstheme="minorHAnsi"/>
        </w:rPr>
        <w:t>has exp</w:t>
      </w:r>
      <w:r>
        <w:rPr>
          <w:rFonts w:asciiTheme="minorHAnsi" w:hAnsiTheme="minorHAnsi" w:cstheme="minorHAnsi"/>
        </w:rPr>
        <w:t>e</w:t>
      </w:r>
      <w:r>
        <w:rPr>
          <w:rFonts w:asciiTheme="minorHAnsi" w:hAnsiTheme="minorHAnsi" w:cstheme="minorHAnsi"/>
        </w:rPr>
        <w:t xml:space="preserve">rienced past persecution at the hands of the police in Russia and Belarus, </w:t>
      </w:r>
      <w:r w:rsidR="00F27AD4">
        <w:rPr>
          <w:rFonts w:asciiTheme="minorHAnsi" w:hAnsiTheme="minorHAnsi" w:cstheme="minorHAnsi"/>
        </w:rPr>
        <w:t xml:space="preserve">and </w:t>
      </w:r>
      <w:r>
        <w:rPr>
          <w:rFonts w:asciiTheme="minorHAnsi" w:hAnsiTheme="minorHAnsi" w:cstheme="minorHAnsi"/>
        </w:rPr>
        <w:t xml:space="preserve">has a well-founded fear that, if forced to return to either country, </w:t>
      </w:r>
      <w:r w:rsidR="00F27AD4">
        <w:rPr>
          <w:rFonts w:asciiTheme="minorHAnsi" w:hAnsiTheme="minorHAnsi" w:cstheme="minorHAnsi"/>
        </w:rPr>
        <w:t xml:space="preserve">he </w:t>
      </w:r>
      <w:r>
        <w:rPr>
          <w:rFonts w:asciiTheme="minorHAnsi" w:hAnsiTheme="minorHAnsi" w:cstheme="minorHAnsi"/>
        </w:rPr>
        <w:t>would face future pe</w:t>
      </w:r>
      <w:r>
        <w:rPr>
          <w:rFonts w:asciiTheme="minorHAnsi" w:hAnsiTheme="minorHAnsi" w:cstheme="minorHAnsi"/>
        </w:rPr>
        <w:t>r</w:t>
      </w:r>
      <w:r>
        <w:rPr>
          <w:rFonts w:asciiTheme="minorHAnsi" w:hAnsiTheme="minorHAnsi" w:cstheme="minorHAnsi"/>
        </w:rPr>
        <w:t>secution, including possibly death</w:t>
      </w:r>
      <w:r w:rsidR="00773AC8">
        <w:rPr>
          <w:rFonts w:asciiTheme="minorHAnsi" w:hAnsiTheme="minorHAnsi" w:cstheme="minorHAnsi"/>
        </w:rPr>
        <w:t>, on account of his sexual identity as a gay man.</w:t>
      </w:r>
    </w:p>
    <w:p w14:paraId="4AF5EAB3" w14:textId="77777777" w:rsidR="00773AC8" w:rsidRDefault="00773AC8" w:rsidP="00773AC8">
      <w:pPr>
        <w:pStyle w:val="HeadingLeftBoldItal"/>
      </w:pPr>
      <w:r>
        <w:t>A.</w:t>
      </w:r>
      <w:r>
        <w:tab/>
        <w:t>Russian Country Conditions:  Persecution of Gay Men</w:t>
      </w:r>
    </w:p>
    <w:p w14:paraId="5739BC6D" w14:textId="77777777" w:rsidR="00082F74" w:rsidRDefault="00703A7C" w:rsidP="00C75FCE">
      <w:pPr>
        <w:pStyle w:val="SinglePara"/>
      </w:pPr>
      <w:r>
        <w:t xml:space="preserve">Since the adoption of the Russian gay propaganda law in June 2013, there has been a significant increase in hate crimes against members of the gay community. </w:t>
      </w:r>
      <w:r w:rsidR="00FE4E25">
        <w:t xml:space="preserve"> </w:t>
      </w:r>
      <w:r w:rsidR="00FE4E25">
        <w:lastRenderedPageBreak/>
        <w:t>As Human Rights Watch recently reported, “[t]</w:t>
      </w:r>
      <w:r w:rsidR="00FE4E25">
        <w:rPr>
          <w:lang w:val="en"/>
        </w:rPr>
        <w:t>he passage of Russia’s 2013 ‘gay propaganda’ law coincided with a ratcheting up of homophobic rhetoric in state m</w:t>
      </w:r>
      <w:r w:rsidR="00FE4E25">
        <w:rPr>
          <w:lang w:val="en"/>
        </w:rPr>
        <w:t>e</w:t>
      </w:r>
      <w:r w:rsidR="00FE4E25">
        <w:rPr>
          <w:lang w:val="en"/>
        </w:rPr>
        <w:t>dia and an increase in homophobic violence around the country.”</w:t>
      </w:r>
      <w:r w:rsidR="00FE4E25">
        <w:rPr>
          <w:rStyle w:val="FootnoteReference"/>
        </w:rPr>
        <w:footnoteReference w:id="60"/>
      </w:r>
      <w:r w:rsidR="00FE4E25">
        <w:rPr>
          <w:lang w:val="en"/>
        </w:rPr>
        <w:t xml:space="preserve">  </w:t>
      </w:r>
      <w:r w:rsidR="00FE4E25" w:rsidRPr="00142123">
        <w:t xml:space="preserve">The </w:t>
      </w:r>
      <w:r w:rsidR="00FE4E25">
        <w:t xml:space="preserve">gay </w:t>
      </w:r>
      <w:r w:rsidR="00FE4E25" w:rsidRPr="00142123">
        <w:t>prop</w:t>
      </w:r>
      <w:r w:rsidR="00FE4E25" w:rsidRPr="00142123">
        <w:t>a</w:t>
      </w:r>
      <w:r w:rsidR="00FE4E25" w:rsidRPr="00142123">
        <w:t xml:space="preserve">ganda law significantly increases the stigmatization of </w:t>
      </w:r>
      <w:r w:rsidR="00FE4E25">
        <w:t>gay</w:t>
      </w:r>
      <w:r w:rsidR="00FE4E25" w:rsidRPr="00142123">
        <w:t xml:space="preserve"> people and thus </w:t>
      </w:r>
      <w:r w:rsidR="00FE4E25">
        <w:t>serves to</w:t>
      </w:r>
      <w:r w:rsidR="00FE4E25" w:rsidRPr="00142123">
        <w:t xml:space="preserve"> justif</w:t>
      </w:r>
      <w:r w:rsidR="00FE4E25">
        <w:t>y</w:t>
      </w:r>
      <w:r w:rsidR="00FE4E25" w:rsidRPr="00142123">
        <w:t xml:space="preserve"> and encourage</w:t>
      </w:r>
      <w:r w:rsidR="00FE4E25">
        <w:t xml:space="preserve"> violence against them.</w:t>
      </w:r>
      <w:r w:rsidR="00FE4E25" w:rsidRPr="00142123">
        <w:t xml:space="preserve"> </w:t>
      </w:r>
      <w:r w:rsidR="00FE4E25">
        <w:t xml:space="preserve"> </w:t>
      </w:r>
      <w:r w:rsidR="00FE4E25" w:rsidRPr="00142123">
        <w:t xml:space="preserve">In </w:t>
      </w:r>
      <w:r w:rsidR="00FE4E25">
        <w:t>many</w:t>
      </w:r>
      <w:r w:rsidR="00FE4E25" w:rsidRPr="00142123">
        <w:t xml:space="preserve"> </w:t>
      </w:r>
      <w:r w:rsidR="00FE4E25">
        <w:t xml:space="preserve">documented </w:t>
      </w:r>
      <w:r w:rsidR="00FE4E25" w:rsidRPr="00142123">
        <w:t xml:space="preserve">physical violence cases, attacks on </w:t>
      </w:r>
      <w:r w:rsidR="00FE4E25">
        <w:t>gay men</w:t>
      </w:r>
      <w:r w:rsidR="00FE4E25" w:rsidRPr="00142123">
        <w:t xml:space="preserve"> were accompanied by homophobic statements by the a</w:t>
      </w:r>
      <w:r w:rsidR="00FE4E25" w:rsidRPr="00142123">
        <w:t>g</w:t>
      </w:r>
      <w:r w:rsidR="00FE4E25" w:rsidRPr="00142123">
        <w:t>gressors refe</w:t>
      </w:r>
      <w:r w:rsidR="00FE4E25">
        <w:t>rring to the gay propaganda law, statements like “you are prohibited by law” and “</w:t>
      </w:r>
      <w:r w:rsidR="00FE4E25" w:rsidRPr="00142123">
        <w:t>how dare you propaga</w:t>
      </w:r>
      <w:r w:rsidR="00FE4E25">
        <w:t>te.”</w:t>
      </w:r>
      <w:r>
        <w:rPr>
          <w:rStyle w:val="FootnoteReference"/>
        </w:rPr>
        <w:footnoteReference w:id="61"/>
      </w:r>
    </w:p>
    <w:p w14:paraId="5CFE94E9" w14:textId="77777777" w:rsidR="00BC1BF6" w:rsidRDefault="00FE4E25" w:rsidP="00C75FCE">
      <w:pPr>
        <w:pStyle w:val="SinglePara"/>
      </w:pPr>
      <w:r>
        <w:t xml:space="preserve">Since the passage of the gay propaganda law, anti-gay vigilante groups have </w:t>
      </w:r>
      <w:r w:rsidR="00A355CA">
        <w:t xml:space="preserve">increasingly </w:t>
      </w:r>
      <w:r>
        <w:t xml:space="preserve">targeted gay men and boys for </w:t>
      </w:r>
      <w:r w:rsidR="002F5ABD">
        <w:t>“fake dates</w:t>
      </w:r>
      <w:r w:rsidR="00A355CA">
        <w:t>.</w:t>
      </w:r>
      <w:r w:rsidR="002F5ABD">
        <w:t xml:space="preserve">” </w:t>
      </w:r>
      <w:r w:rsidR="00A355CA">
        <w:t xml:space="preserve"> The perpetrators </w:t>
      </w:r>
      <w:r w:rsidR="002F5ABD">
        <w:t>meet the</w:t>
      </w:r>
      <w:r w:rsidR="00A355CA">
        <w:t>ir</w:t>
      </w:r>
      <w:r w:rsidR="002F5ABD">
        <w:t xml:space="preserve"> vic</w:t>
      </w:r>
      <w:r w:rsidR="00A355CA">
        <w:t>tim</w:t>
      </w:r>
      <w:r w:rsidR="002F5ABD">
        <w:t xml:space="preserve"> on dating websites and invit</w:t>
      </w:r>
      <w:r w:rsidR="00A355CA">
        <w:t>e</w:t>
      </w:r>
      <w:r w:rsidR="002F5ABD">
        <w:t xml:space="preserve"> </w:t>
      </w:r>
      <w:r w:rsidR="00A355CA">
        <w:t>him</w:t>
      </w:r>
      <w:r w:rsidR="002F5ABD">
        <w:t xml:space="preserve"> to </w:t>
      </w:r>
      <w:r w:rsidR="00A355CA">
        <w:t xml:space="preserve">a date </w:t>
      </w:r>
      <w:r w:rsidR="002F5ABD">
        <w:t xml:space="preserve">in an apartment </w:t>
      </w:r>
      <w:r w:rsidR="002F5ABD" w:rsidRPr="00142123">
        <w:t xml:space="preserve">or a secluded place in the street, </w:t>
      </w:r>
      <w:r w:rsidR="00A355CA">
        <w:t xml:space="preserve">where they then </w:t>
      </w:r>
      <w:r w:rsidR="002F5ABD" w:rsidRPr="00142123">
        <w:t>extort money</w:t>
      </w:r>
      <w:r w:rsidR="00A355CA">
        <w:t xml:space="preserve"> from him.</w:t>
      </w:r>
      <w:r w:rsidR="002F5ABD">
        <w:t xml:space="preserve">  The </w:t>
      </w:r>
      <w:r w:rsidR="00A355CA">
        <w:t>perpetrators</w:t>
      </w:r>
      <w:r w:rsidR="002F5ABD">
        <w:t xml:space="preserve"> often beat the victim and threaten to disclose information about </w:t>
      </w:r>
      <w:r w:rsidR="00A355CA">
        <w:t>his</w:t>
      </w:r>
      <w:r w:rsidR="002F5ABD">
        <w:t xml:space="preserve"> sexual orientation to </w:t>
      </w:r>
      <w:r w:rsidR="00A355CA">
        <w:t>his</w:t>
      </w:r>
      <w:r w:rsidR="002F5ABD">
        <w:t xml:space="preserve"> friends and colleagues, and publicly to report the victim to the police as a ped</w:t>
      </w:r>
      <w:r w:rsidR="002F5ABD">
        <w:t>o</w:t>
      </w:r>
      <w:r w:rsidR="002F5ABD">
        <w:t>phile.</w:t>
      </w:r>
      <w:r w:rsidR="002F5ABD">
        <w:rPr>
          <w:rStyle w:val="FootnoteReference"/>
        </w:rPr>
        <w:footnoteReference w:id="62"/>
      </w:r>
      <w:r w:rsidR="00BC1BF6">
        <w:t xml:space="preserve">  Cases of “fake date” robbery and attacks have been reported in Moscow, St. Petersburg and in other cities across Russia.</w:t>
      </w:r>
      <w:r w:rsidR="005F0CB9">
        <w:rPr>
          <w:rStyle w:val="FootnoteReference"/>
        </w:rPr>
        <w:footnoteReference w:id="63"/>
      </w:r>
      <w:r w:rsidR="00B62AF0">
        <w:t xml:space="preserve">  </w:t>
      </w:r>
    </w:p>
    <w:p w14:paraId="2DA39D64" w14:textId="77777777" w:rsidR="00BC1BF6" w:rsidRDefault="00B62AF0" w:rsidP="00C75FCE">
      <w:pPr>
        <w:pStyle w:val="SinglePara"/>
      </w:pPr>
      <w:r>
        <w:lastRenderedPageBreak/>
        <w:t>In another response to the gay propaganda law, anti-gay radicals have launched a website encouraging people to upload the names and personal identifying information of gay men for the purpose of targeting these gay men for violence and even death.</w:t>
      </w:r>
      <w:r>
        <w:rPr>
          <w:rStyle w:val="FootnoteReference"/>
        </w:rPr>
        <w:footnoteReference w:id="64"/>
      </w:r>
      <w:r>
        <w:t xml:space="preserve">  </w:t>
      </w:r>
    </w:p>
    <w:p w14:paraId="78D9CAA2" w14:textId="77777777" w:rsidR="00703A7C" w:rsidRDefault="00B62AF0" w:rsidP="00C75FCE">
      <w:pPr>
        <w:pStyle w:val="SinglePara"/>
      </w:pPr>
      <w:r>
        <w:t xml:space="preserve">The perpetrators </w:t>
      </w:r>
      <w:r w:rsidR="005F0CB9">
        <w:t xml:space="preserve">of these attacks on gay men </w:t>
      </w:r>
      <w:r>
        <w:t>expect—often correctly—that their victims will not seek protection from law enforcement agencies because of fear that the police will further harass or abuse them</w:t>
      </w:r>
      <w:r w:rsidR="00A355CA">
        <w:t>, and therefore the perpetrators’ co</w:t>
      </w:r>
      <w:r w:rsidR="00A355CA">
        <w:t>n</w:t>
      </w:r>
      <w:r w:rsidR="00A355CA">
        <w:t>duct will go unpunished.</w:t>
      </w:r>
      <w:r w:rsidR="00A355CA">
        <w:rPr>
          <w:rStyle w:val="FootnoteReference"/>
        </w:rPr>
        <w:footnoteReference w:id="65"/>
      </w:r>
      <w:r w:rsidR="00BC1BF6">
        <w:t xml:space="preserve">  </w:t>
      </w:r>
      <w:r w:rsidR="00305C25">
        <w:t>Most LGBT survivors of hate crimes are unwilling to contact law enforcement agencies because they do not believe there will be any e</w:t>
      </w:r>
      <w:r w:rsidR="00305C25">
        <w:t>f</w:t>
      </w:r>
      <w:r w:rsidR="00305C25">
        <w:t>fect.</w:t>
      </w:r>
      <w:r w:rsidR="00305C25">
        <w:rPr>
          <w:rStyle w:val="FootnoteReference"/>
        </w:rPr>
        <w:footnoteReference w:id="66"/>
      </w:r>
      <w:r w:rsidR="00305C25">
        <w:t xml:space="preserve">  The unwillingness of LGBT survivors of hate crimes to seek help from law enforcement agencies is triggered not only b</w:t>
      </w:r>
      <w:r w:rsidR="00F27AD4">
        <w:t>y</w:t>
      </w:r>
      <w:r w:rsidR="00305C25">
        <w:t xml:space="preserve"> the fact that the crime will likely r</w:t>
      </w:r>
      <w:r w:rsidR="00305C25">
        <w:t>e</w:t>
      </w:r>
      <w:r w:rsidR="00305C25">
        <w:lastRenderedPageBreak/>
        <w:t>main uninvestigated, but also by fears of being subjected to homophobic abuse</w:t>
      </w:r>
      <w:r w:rsidR="00BC1BF6">
        <w:t>, i</w:t>
      </w:r>
      <w:r w:rsidR="00BC1BF6">
        <w:t>n</w:t>
      </w:r>
      <w:r w:rsidR="00BC1BF6">
        <w:t>cluding</w:t>
      </w:r>
      <w:r w:rsidR="00305C25">
        <w:t xml:space="preserve"> physical violence</w:t>
      </w:r>
      <w:r w:rsidR="00F2368B">
        <w:t>,</w:t>
      </w:r>
      <w:r w:rsidR="00305C25">
        <w:t xml:space="preserve"> by law enforcement officers.</w:t>
      </w:r>
      <w:r w:rsidR="00305C25">
        <w:rPr>
          <w:rStyle w:val="FootnoteReference"/>
        </w:rPr>
        <w:footnoteReference w:id="67"/>
      </w:r>
      <w:r w:rsidR="00305C25">
        <w:t xml:space="preserve"> </w:t>
      </w:r>
    </w:p>
    <w:p w14:paraId="563FA9BA" w14:textId="77777777" w:rsidR="00BC1BF6" w:rsidRDefault="00F2368B" w:rsidP="00C75FCE">
      <w:pPr>
        <w:pStyle w:val="SinglePara"/>
      </w:pPr>
      <w:r>
        <w:t>The</w:t>
      </w:r>
      <w:r w:rsidR="00BC1BF6">
        <w:t xml:space="preserve"> fear that law enforcement officers will </w:t>
      </w:r>
      <w:r w:rsidR="00961C43">
        <w:t xml:space="preserve">fail to protect </w:t>
      </w:r>
      <w:r w:rsidR="00BC1BF6">
        <w:t xml:space="preserve">gay </w:t>
      </w:r>
      <w:r w:rsidR="00961C43">
        <w:t xml:space="preserve">crime </w:t>
      </w:r>
      <w:r w:rsidR="00BC1BF6">
        <w:t>victims</w:t>
      </w:r>
      <w:r w:rsidR="00961C43">
        <w:t xml:space="preserve">, and in fact will subject those victims </w:t>
      </w:r>
      <w:r w:rsidR="00BC1BF6">
        <w:t>to further abuse and violence</w:t>
      </w:r>
      <w:r w:rsidR="00961C43">
        <w:t>,</w:t>
      </w:r>
      <w:r w:rsidR="00BC1BF6">
        <w:t xml:space="preserve"> is well-founded.</w:t>
      </w:r>
      <w:r w:rsidR="00961C43">
        <w:t xml:space="preserve">  The United States Department of State recently reported that Russian police abused and harassed individuals whom they perceived to be gay.</w:t>
      </w:r>
      <w:r w:rsidR="00961C43">
        <w:rPr>
          <w:rStyle w:val="FootnoteReference"/>
        </w:rPr>
        <w:footnoteReference w:id="68"/>
      </w:r>
      <w:r w:rsidR="005F0CB9">
        <w:t xml:space="preserve">  </w:t>
      </w:r>
      <w:r w:rsidR="00961C43">
        <w:t>“Openly gay men were particular targets of violence, and police often failed to respond adequately to such incidents.”</w:t>
      </w:r>
      <w:r w:rsidR="00961C43">
        <w:rPr>
          <w:rStyle w:val="FootnoteReference"/>
        </w:rPr>
        <w:footnoteReference w:id="69"/>
      </w:r>
      <w:r w:rsidR="00BC1BF6">
        <w:t xml:space="preserve">  </w:t>
      </w:r>
      <w:r w:rsidR="008D414F">
        <w:t>And as the Coalition of Civil Society Organizations explained, “It is important to note that the law enforcement bodies which victims of hate crimes turn to are often not only inactive, but are themselves homophobic, exerting pressure on the victims and forcing them to withdraw any official statements. . . .  This, in turn, indirectly encourages criminals to feel their impunity.”</w:t>
      </w:r>
      <w:r w:rsidR="008D414F">
        <w:rPr>
          <w:rStyle w:val="FootnoteReference"/>
        </w:rPr>
        <w:footnoteReference w:id="70"/>
      </w:r>
    </w:p>
    <w:p w14:paraId="635F2E98" w14:textId="77777777" w:rsidR="00645C62" w:rsidRDefault="004109FB" w:rsidP="00C75FCE">
      <w:pPr>
        <w:pStyle w:val="SinglePara"/>
        <w:rPr>
          <w:lang w:eastAsia="en-US"/>
        </w:rPr>
      </w:pPr>
      <w:r>
        <w:t xml:space="preserve">The </w:t>
      </w:r>
      <w:r w:rsidR="00AC031B">
        <w:t>homophobic conduct</w:t>
      </w:r>
      <w:r>
        <w:t xml:space="preserve"> of the police in Russia flow</w:t>
      </w:r>
      <w:r w:rsidR="00AC031B">
        <w:t>s</w:t>
      </w:r>
      <w:r>
        <w:t xml:space="preserve"> inexorably from the statements and actions of Russian government </w:t>
      </w:r>
      <w:r w:rsidR="00AC031B">
        <w:t>officials them</w:t>
      </w:r>
      <w:r>
        <w:t>sel</w:t>
      </w:r>
      <w:r w:rsidR="00AC031B">
        <w:t>ves</w:t>
      </w:r>
      <w:r>
        <w:t>.  The State D</w:t>
      </w:r>
      <w:r>
        <w:t>e</w:t>
      </w:r>
      <w:r>
        <w:t>partment has</w:t>
      </w:r>
      <w:r w:rsidR="00AC031B">
        <w:t xml:space="preserve"> recently</w:t>
      </w:r>
      <w:r>
        <w:t xml:space="preserve"> reported that state-controlled media promote</w:t>
      </w:r>
      <w:r w:rsidR="00645C62">
        <w:t>s</w:t>
      </w:r>
      <w:r>
        <w:t xml:space="preserve"> a homophobic campaign “</w:t>
      </w:r>
      <w:r w:rsidRPr="003F4B8F">
        <w:rPr>
          <w:rFonts w:ascii="robotoregular" w:hAnsi="robotoregular" w:cs="Arial"/>
          <w:lang w:eastAsia="en-US"/>
        </w:rPr>
        <w:t xml:space="preserve">in which officials, journalists, and others called LGBTI persons </w:t>
      </w:r>
      <w:r w:rsidR="00AC031B">
        <w:rPr>
          <w:rFonts w:ascii="robotoregular" w:hAnsi="robotoregular" w:cs="Arial"/>
          <w:lang w:eastAsia="en-US"/>
        </w:rPr>
        <w:t>‘</w:t>
      </w:r>
      <w:r w:rsidRPr="003F4B8F">
        <w:rPr>
          <w:rFonts w:ascii="robotoregular" w:hAnsi="robotoregular" w:cs="Arial"/>
          <w:lang w:eastAsia="en-US"/>
        </w:rPr>
        <w:t>pe</w:t>
      </w:r>
      <w:r w:rsidRPr="003F4B8F">
        <w:rPr>
          <w:rFonts w:ascii="robotoregular" w:hAnsi="robotoregular" w:cs="Arial"/>
          <w:lang w:eastAsia="en-US"/>
        </w:rPr>
        <w:t>r</w:t>
      </w:r>
      <w:r w:rsidRPr="003F4B8F">
        <w:rPr>
          <w:rFonts w:ascii="robotoregular" w:hAnsi="robotoregular" w:cs="Arial"/>
          <w:lang w:eastAsia="en-US"/>
        </w:rPr>
        <w:t>verts,</w:t>
      </w:r>
      <w:r w:rsidR="00AC031B">
        <w:rPr>
          <w:rFonts w:ascii="robotoregular" w:hAnsi="robotoregular" w:cs="Arial"/>
          <w:lang w:eastAsia="en-US"/>
        </w:rPr>
        <w:t>’ ‘</w:t>
      </w:r>
      <w:r w:rsidRPr="003F4B8F">
        <w:rPr>
          <w:rFonts w:ascii="robotoregular" w:hAnsi="robotoregular" w:cs="Arial"/>
          <w:lang w:eastAsia="en-US"/>
        </w:rPr>
        <w:t>sodomites,</w:t>
      </w:r>
      <w:r w:rsidR="00AC031B">
        <w:rPr>
          <w:rFonts w:ascii="robotoregular" w:hAnsi="robotoregular" w:cs="Arial"/>
          <w:lang w:eastAsia="en-US"/>
        </w:rPr>
        <w:t>’</w:t>
      </w:r>
      <w:r w:rsidRPr="003F4B8F">
        <w:rPr>
          <w:rFonts w:ascii="robotoregular" w:hAnsi="robotoregular" w:cs="Arial"/>
          <w:lang w:eastAsia="en-US"/>
        </w:rPr>
        <w:t xml:space="preserve"> and </w:t>
      </w:r>
      <w:r w:rsidR="00AC031B">
        <w:rPr>
          <w:rFonts w:ascii="robotoregular" w:hAnsi="robotoregular" w:cs="Arial"/>
          <w:lang w:eastAsia="en-US"/>
        </w:rPr>
        <w:t>‘</w:t>
      </w:r>
      <w:r w:rsidRPr="003F4B8F">
        <w:rPr>
          <w:rFonts w:ascii="robotoregular" w:hAnsi="robotoregular" w:cs="Arial"/>
          <w:lang w:eastAsia="en-US"/>
        </w:rPr>
        <w:t>abnormal</w:t>
      </w:r>
      <w:r w:rsidR="00AC031B">
        <w:rPr>
          <w:rFonts w:ascii="robotoregular" w:hAnsi="robotoregular" w:cs="Arial"/>
          <w:lang w:eastAsia="en-US"/>
        </w:rPr>
        <w:t>’</w:t>
      </w:r>
      <w:r w:rsidRPr="003F4B8F">
        <w:rPr>
          <w:rFonts w:ascii="robotoregular" w:hAnsi="robotoregular" w:cs="Arial"/>
          <w:lang w:eastAsia="en-US"/>
        </w:rPr>
        <w:t xml:space="preserve"> and conflated homosexuality with pedophilia.</w:t>
      </w:r>
      <w:r w:rsidR="00AC031B">
        <w:rPr>
          <w:rFonts w:ascii="robotoregular" w:hAnsi="robotoregular" w:cs="Arial"/>
          <w:lang w:eastAsia="en-US"/>
        </w:rPr>
        <w:t>”</w:t>
      </w:r>
      <w:r w:rsidR="00AC031B">
        <w:rPr>
          <w:rStyle w:val="FootnoteReference"/>
          <w:rFonts w:ascii="robotoregular" w:hAnsi="robotoregular" w:cs="Arial" w:hint="eastAsia"/>
          <w:lang w:eastAsia="en-US"/>
        </w:rPr>
        <w:footnoteReference w:id="71"/>
      </w:r>
      <w:r>
        <w:t xml:space="preserve"> </w:t>
      </w:r>
      <w:r w:rsidR="00AC031B">
        <w:t xml:space="preserve"> The United Kingdom’s Foreign and Commonwealth Office similarly reported that “‘[h]</w:t>
      </w:r>
      <w:r w:rsidR="00AC031B">
        <w:rPr>
          <w:lang w:eastAsia="en-US"/>
        </w:rPr>
        <w:t>ate speech’ against LGBT people is led by the state and reinforced by legislation that severely restricts opportunities for challenging the dormant, hateful narrative around diverse sexual orientations and gender identities.”</w:t>
      </w:r>
      <w:r w:rsidR="00AC031B">
        <w:rPr>
          <w:rStyle w:val="FootnoteReference"/>
          <w:lang w:eastAsia="en-US"/>
        </w:rPr>
        <w:footnoteReference w:id="72"/>
      </w:r>
      <w:r w:rsidR="00AC031B">
        <w:rPr>
          <w:lang w:eastAsia="en-US"/>
        </w:rPr>
        <w:t xml:space="preserve">  </w:t>
      </w:r>
    </w:p>
    <w:p w14:paraId="558B57E2" w14:textId="77777777" w:rsidR="00B67BF9" w:rsidRDefault="00645C62" w:rsidP="00C75FCE">
      <w:pPr>
        <w:pStyle w:val="SinglePara"/>
      </w:pPr>
      <w:r>
        <w:rPr>
          <w:lang w:eastAsia="en-US"/>
        </w:rPr>
        <w:t xml:space="preserve">Official animus and violence toward gay men reached a pinnacle recently in Chechnya when, in </w:t>
      </w:r>
      <w:r w:rsidR="00B67BF9">
        <w:t xml:space="preserve">February 2017, government authorities </w:t>
      </w:r>
      <w:r>
        <w:t>b</w:t>
      </w:r>
      <w:r w:rsidR="00B67BF9">
        <w:t>egan to abduct men on the suspicion that they were gay.  The Chechen authorities tortured and humiliated and, in at least three instances, killed these detained individuals in what has been r</w:t>
      </w:r>
      <w:r w:rsidR="00B67BF9">
        <w:t>e</w:t>
      </w:r>
      <w:r w:rsidR="00B67BF9">
        <w:t xml:space="preserve">ferred to as a “prophylactic sweep” seemingly intended to rid Chechnya of gay men.  </w:t>
      </w:r>
      <w:proofErr w:type="spellStart"/>
      <w:r w:rsidR="00B67BF9" w:rsidRPr="00756F3E">
        <w:t>Ramzan</w:t>
      </w:r>
      <w:proofErr w:type="spellEnd"/>
      <w:r w:rsidR="00B67BF9" w:rsidRPr="00756F3E">
        <w:t xml:space="preserve"> </w:t>
      </w:r>
      <w:proofErr w:type="spellStart"/>
      <w:r w:rsidR="00B67BF9" w:rsidRPr="00756F3E">
        <w:t>Kadyrov</w:t>
      </w:r>
      <w:proofErr w:type="spellEnd"/>
      <w:r w:rsidR="001022D6">
        <w:t xml:space="preserve">, the head of the Chechen Republic, </w:t>
      </w:r>
      <w:r w:rsidR="00B67BF9" w:rsidRPr="00756F3E">
        <w:t>has encouraged extrajudicial killings by family members as an alternative to law enforcement</w:t>
      </w:r>
      <w:r w:rsidR="00B67BF9">
        <w:t xml:space="preserve">—in </w:t>
      </w:r>
      <w:r w:rsidR="00B67BF9" w:rsidRPr="00756F3E">
        <w:t xml:space="preserve">some cases, gay </w:t>
      </w:r>
      <w:r w:rsidR="00B67BF9" w:rsidRPr="00756F3E">
        <w:lastRenderedPageBreak/>
        <w:t xml:space="preserve">men in prison have been released early specifically to enable their </w:t>
      </w:r>
      <w:r>
        <w:t>so-called “honor killings”</w:t>
      </w:r>
      <w:r w:rsidR="001022D6">
        <w:t xml:space="preserve"> </w:t>
      </w:r>
      <w:r>
        <w:t xml:space="preserve">by </w:t>
      </w:r>
      <w:r w:rsidR="00B67BF9" w:rsidRPr="00756F3E">
        <w:t>relatives</w:t>
      </w:r>
      <w:r w:rsidR="00B67BF9">
        <w:t>.</w:t>
      </w:r>
      <w:r>
        <w:rPr>
          <w:rStyle w:val="FootnoteReference"/>
        </w:rPr>
        <w:footnoteReference w:id="73"/>
      </w:r>
      <w:r w:rsidR="00B67BF9">
        <w:t xml:space="preserve">  </w:t>
      </w:r>
      <w:r w:rsidR="001022D6">
        <w:t>And i</w:t>
      </w:r>
      <w:r>
        <w:t xml:space="preserve">n a terrifying repeat of the horrific </w:t>
      </w:r>
      <w:r w:rsidR="001022D6">
        <w:t>conduct of Chechen officials in 2017, the New York Times reported on January 14, 2019, that “[s]</w:t>
      </w:r>
      <w:r w:rsidR="001022D6">
        <w:rPr>
          <w:lang w:val="en"/>
        </w:rPr>
        <w:t xml:space="preserve">ecurity forces in the Russian region of Chechnya have again cracked down on gay people, killing two and applying tactics once used against Islamist terrorists to find and arrest dozens of others, a Russian rights group said in a </w:t>
      </w:r>
      <w:r w:rsidR="001022D6" w:rsidRPr="00474CE0">
        <w:rPr>
          <w:lang w:val="en"/>
        </w:rPr>
        <w:t>report</w:t>
      </w:r>
      <w:r w:rsidR="001022D6">
        <w:rPr>
          <w:lang w:val="en"/>
        </w:rPr>
        <w:t xml:space="preserve"> issued on Monday.”</w:t>
      </w:r>
      <w:r w:rsidR="001022D6">
        <w:rPr>
          <w:rStyle w:val="FootnoteReference"/>
          <w:lang w:val="en"/>
        </w:rPr>
        <w:footnoteReference w:id="74"/>
      </w:r>
      <w:r w:rsidR="00B67BF9">
        <w:t xml:space="preserve">  </w:t>
      </w:r>
    </w:p>
    <w:p w14:paraId="5DB74AB2" w14:textId="77777777" w:rsidR="005824BD" w:rsidRDefault="005824BD" w:rsidP="00C75FCE">
      <w:pPr>
        <w:pStyle w:val="SinglePara"/>
      </w:pPr>
      <w:r>
        <w:t xml:space="preserve">In sum, since Russia passed its gay propaganda law in 2013, it has become an increasingly dangerous place for gay men to live.  The national ban on any </w:t>
      </w:r>
      <w:r w:rsidR="00103852">
        <w:t>speech or conduct supportive of gay rights and gay individuals has enflamed homophobic se</w:t>
      </w:r>
      <w:r w:rsidR="00103852">
        <w:t>n</w:t>
      </w:r>
      <w:r w:rsidR="00103852">
        <w:t>timent among private citizens and permitted them to act on that sentiment by violen</w:t>
      </w:r>
      <w:r w:rsidR="00103852">
        <w:t>t</w:t>
      </w:r>
      <w:r w:rsidR="00103852">
        <w:t xml:space="preserve">ly attacking gay men with impunity, aided by the acquiescence and, in many cases, the active participation of government authorities.  </w:t>
      </w:r>
    </w:p>
    <w:p w14:paraId="5BB98772" w14:textId="77777777" w:rsidR="006F03E6" w:rsidRDefault="00773AC8" w:rsidP="00773AC8">
      <w:pPr>
        <w:pStyle w:val="HeadingLeftBoldItal"/>
      </w:pPr>
      <w:r>
        <w:t>B.</w:t>
      </w:r>
      <w:r>
        <w:tab/>
        <w:t>Belarusian Country Conditions:  Persecution of Gay Men</w:t>
      </w:r>
    </w:p>
    <w:p w14:paraId="778E191F" w14:textId="77777777" w:rsidR="0091446C" w:rsidRDefault="001022D6" w:rsidP="002E07B9">
      <w:pPr>
        <w:pStyle w:val="SinglePara"/>
      </w:pPr>
      <w:r>
        <w:t xml:space="preserve">Conditions for gay men in Belarus are no better than they are in Russia.  </w:t>
      </w:r>
      <w:r w:rsidR="0091446C">
        <w:t xml:space="preserve">In May 2016, Belarus enacted its own version of a gay propaganda law, modeled on the Russian </w:t>
      </w:r>
      <w:proofErr w:type="gramStart"/>
      <w:r w:rsidR="0091446C">
        <w:t>law, that</w:t>
      </w:r>
      <w:proofErr w:type="gramEnd"/>
      <w:r w:rsidR="0091446C">
        <w:t xml:space="preserve"> criminalizes speech or conduct in support of gay rights.  </w:t>
      </w:r>
      <w:r w:rsidR="00AC747F">
        <w:t>Last year, t</w:t>
      </w:r>
      <w:r>
        <w:t>he United States Department of State succinctly reported that “[c]</w:t>
      </w:r>
      <w:proofErr w:type="spellStart"/>
      <w:r>
        <w:t>onsensual</w:t>
      </w:r>
      <w:proofErr w:type="spellEnd"/>
      <w:r>
        <w:t xml:space="preserve"> same-sex conduct between adults is not illegal, but discrimination against lesbian, gay, b</w:t>
      </w:r>
      <w:r>
        <w:t>i</w:t>
      </w:r>
      <w:r>
        <w:t>sexual, transgender, and intersex (LGBTI) persons was widespread, and harassment occurred.  Societal discrimination against LGBTI activists persisted with the tacit support of the regime.  Police continued to mistreat LGBTI persons and refused to investigate crimes against them.”</w:t>
      </w:r>
      <w:r w:rsidR="00AC747F">
        <w:rPr>
          <w:rStyle w:val="FootnoteReference"/>
        </w:rPr>
        <w:footnoteReference w:id="75"/>
      </w:r>
      <w:r w:rsidR="005824BD">
        <w:t xml:space="preserve">  </w:t>
      </w:r>
    </w:p>
    <w:p w14:paraId="2166AC01" w14:textId="77777777" w:rsidR="006F03E6" w:rsidRDefault="005824BD" w:rsidP="002E07B9">
      <w:pPr>
        <w:pStyle w:val="SinglePara"/>
      </w:pPr>
      <w:r>
        <w:lastRenderedPageBreak/>
        <w:t>“Homophobia is an entrenched problem in Belarus,” reported the United Kingdom’s Foreign and Commonwealth Office.</w:t>
      </w:r>
      <w:r>
        <w:rPr>
          <w:rStyle w:val="FootnoteReference"/>
        </w:rPr>
        <w:footnoteReference w:id="76"/>
      </w:r>
      <w:r>
        <w:t xml:space="preserve">  “</w:t>
      </w:r>
      <w:r>
        <w:rPr>
          <w:lang w:eastAsia="en-US"/>
        </w:rPr>
        <w:t>Discrimination, violence and other bias-motivated crimes against LGBT Belarusians are usually met with impun</w:t>
      </w:r>
      <w:r>
        <w:rPr>
          <w:lang w:eastAsia="en-US"/>
        </w:rPr>
        <w:t>i</w:t>
      </w:r>
      <w:r>
        <w:rPr>
          <w:lang w:eastAsia="en-US"/>
        </w:rPr>
        <w:t xml:space="preserve">ty, and reinforced by widespread homophobic rhetoric from the authorities.  This is evident even at the highest levels of government.  In 2012, President </w:t>
      </w:r>
      <w:proofErr w:type="spellStart"/>
      <w:r>
        <w:rPr>
          <w:lang w:eastAsia="en-US"/>
        </w:rPr>
        <w:t>Aleksandr</w:t>
      </w:r>
      <w:proofErr w:type="spellEnd"/>
      <w:r>
        <w:rPr>
          <w:lang w:eastAsia="en-US"/>
        </w:rPr>
        <w:t xml:space="preserve"> Lukashenko said in public that </w:t>
      </w:r>
      <w:r w:rsidR="00F2368B">
        <w:rPr>
          <w:lang w:eastAsia="en-US"/>
        </w:rPr>
        <w:t>‘</w:t>
      </w:r>
      <w:r>
        <w:rPr>
          <w:lang w:eastAsia="en-US"/>
        </w:rPr>
        <w:t>it is better to be a dictator than gay,</w:t>
      </w:r>
      <w:r w:rsidR="00F2368B">
        <w:rPr>
          <w:lang w:eastAsia="en-US"/>
        </w:rPr>
        <w:t>’</w:t>
      </w:r>
      <w:r>
        <w:rPr>
          <w:lang w:eastAsia="en-US"/>
        </w:rPr>
        <w:t xml:space="preserve"> and regularly uses homophobic slurs.”</w:t>
      </w:r>
      <w:r>
        <w:rPr>
          <w:rStyle w:val="FootnoteReference"/>
          <w:lang w:eastAsia="en-US"/>
        </w:rPr>
        <w:footnoteReference w:id="77"/>
      </w:r>
      <w:r>
        <w:t xml:space="preserve">  Indeed, “[p]</w:t>
      </w:r>
      <w:proofErr w:type="spellStart"/>
      <w:r>
        <w:rPr>
          <w:lang w:eastAsia="en-US"/>
        </w:rPr>
        <w:t>ublic</w:t>
      </w:r>
      <w:proofErr w:type="spellEnd"/>
      <w:r>
        <w:rPr>
          <w:lang w:eastAsia="en-US"/>
        </w:rPr>
        <w:t xml:space="preserve"> comments by influential figures [i</w:t>
      </w:r>
      <w:r>
        <w:rPr>
          <w:lang w:eastAsia="en-US"/>
        </w:rPr>
        <w:t>n</w:t>
      </w:r>
      <w:r>
        <w:rPr>
          <w:lang w:eastAsia="en-US"/>
        </w:rPr>
        <w:t>cluding government officials] have set a tone in Belarus in which ‘hate speech’ against LGBT people, as well as bias-motivated crimes and acts of discrimination, are considered acceptable.”</w:t>
      </w:r>
      <w:r>
        <w:rPr>
          <w:rStyle w:val="FootnoteReference"/>
          <w:lang w:eastAsia="en-US"/>
        </w:rPr>
        <w:footnoteReference w:id="78"/>
      </w:r>
    </w:p>
    <w:p w14:paraId="7AE17202" w14:textId="77777777" w:rsidR="00103852" w:rsidRDefault="00384505" w:rsidP="002E07B9">
      <w:pPr>
        <w:pStyle w:val="SinglePara"/>
      </w:pPr>
      <w:r>
        <w:t>Accordingly, like Russia, Belarus remains an unsafe place for gay men to live, with government officials spewing hateful homophobic rhetoric and inciting police officers and non-governmental actors to persecute gay men with impunity.</w:t>
      </w:r>
    </w:p>
    <w:p w14:paraId="35DFBA27" w14:textId="5BED66BB" w:rsidR="00103852" w:rsidRDefault="00103852" w:rsidP="00103852">
      <w:pPr>
        <w:pStyle w:val="HeadingLeftBoldItal"/>
      </w:pPr>
      <w:r>
        <w:t>C.</w:t>
      </w:r>
      <w:r>
        <w:tab/>
        <w:t xml:space="preserve">Mr. </w:t>
      </w:r>
      <w:r w:rsidR="00C659B4">
        <w:t xml:space="preserve">X </w:t>
      </w:r>
      <w:r>
        <w:t>Is a Member of a Particular Social Group</w:t>
      </w:r>
      <w:r>
        <w:br/>
        <w:t>Recognized as Eligible for Asylum</w:t>
      </w:r>
      <w:r w:rsidR="00322409">
        <w:t xml:space="preserve"> Under the INA</w:t>
      </w:r>
    </w:p>
    <w:p w14:paraId="62F534B8" w14:textId="59AFAA41" w:rsidR="005824BD" w:rsidRDefault="00103852" w:rsidP="002E07B9">
      <w:pPr>
        <w:pStyle w:val="SinglePara"/>
      </w:pPr>
      <w:r>
        <w:t>There is no dispute that gay men are members of a “particular social group” eligible for asylum as refugees under the INA.</w:t>
      </w:r>
      <w:r>
        <w:rPr>
          <w:rStyle w:val="FootnoteReference"/>
        </w:rPr>
        <w:footnoteReference w:id="79"/>
      </w:r>
      <w:r w:rsidR="008D4C38">
        <w:t xml:space="preserve">  And Mr. X</w:t>
      </w:r>
      <w:r w:rsidR="00F9121C">
        <w:t xml:space="preserve"> is undeniably a gay man, and thus a member of that particular social group.  In his declaration, Mr. </w:t>
      </w:r>
      <w:r w:rsidR="008D4C38">
        <w:t xml:space="preserve">X </w:t>
      </w:r>
      <w:r w:rsidR="001D7FF7">
        <w:t xml:space="preserve">has </w:t>
      </w:r>
      <w:r w:rsidR="00F9121C">
        <w:t>explain</w:t>
      </w:r>
      <w:r w:rsidR="001D7FF7">
        <w:t>ed</w:t>
      </w:r>
      <w:r w:rsidR="00F9121C">
        <w:t xml:space="preserve"> how, at an early age, he came to realize that he is physically and sexually attracted to other men, and how he understood that he had to hide those feelings so that he would not be ridiculed and ostracized by his classmates.</w:t>
      </w:r>
      <w:r w:rsidR="00F9121C">
        <w:rPr>
          <w:rStyle w:val="FootnoteReference"/>
        </w:rPr>
        <w:footnoteReference w:id="80"/>
      </w:r>
      <w:r w:rsidR="00F9121C">
        <w:t xml:space="preserve">  </w:t>
      </w:r>
      <w:r w:rsidR="001D7FF7">
        <w:t xml:space="preserve">Mr. </w:t>
      </w:r>
      <w:r w:rsidR="00F9298D">
        <w:t xml:space="preserve">X </w:t>
      </w:r>
      <w:r w:rsidR="001D7FF7">
        <w:t>has d</w:t>
      </w:r>
      <w:r w:rsidR="001D7FF7">
        <w:t>e</w:t>
      </w:r>
      <w:r w:rsidR="001D7FF7">
        <w:t xml:space="preserve">scribed the isolation and loneliness that he felt as he kept his sexual feelings hidden from others, and his efforts eventually to meet other like-minded men through the </w:t>
      </w:r>
      <w:r w:rsidR="001D7FF7">
        <w:lastRenderedPageBreak/>
        <w:t>personal ads of an underground newspaper.</w:t>
      </w:r>
      <w:r w:rsidR="00322409">
        <w:rPr>
          <w:rStyle w:val="FootnoteReference"/>
        </w:rPr>
        <w:footnoteReference w:id="81"/>
      </w:r>
      <w:r w:rsidR="001D7FF7">
        <w:t xml:space="preserve">  He has attested to the efforts he made to hid</w:t>
      </w:r>
      <w:r w:rsidR="00F27AD4">
        <w:t>e</w:t>
      </w:r>
      <w:r w:rsidR="001D7FF7">
        <w:t xml:space="preserve"> his sexual orientation from</w:t>
      </w:r>
      <w:r w:rsidR="00F9121C">
        <w:t xml:space="preserve"> </w:t>
      </w:r>
      <w:r w:rsidR="001D7FF7">
        <w:t>his supervisors and colleagues at the university and at work, and the violent consequences when those efforts were unsuccessful.</w:t>
      </w:r>
      <w:r w:rsidR="00322409">
        <w:rPr>
          <w:rStyle w:val="FootnoteReference"/>
        </w:rPr>
        <w:footnoteReference w:id="82"/>
      </w:r>
      <w:r w:rsidR="00322409">
        <w:t xml:space="preserve"> </w:t>
      </w:r>
      <w:r w:rsidR="001D7FF7">
        <w:t xml:space="preserve"> He has described the abuse he suffered at the hands of the police </w:t>
      </w:r>
      <w:r w:rsidR="00322409">
        <w:t xml:space="preserve">and prosecutors </w:t>
      </w:r>
      <w:r w:rsidR="001D7FF7">
        <w:t>in Belarus and in Russia because he is gay</w:t>
      </w:r>
      <w:r w:rsidR="00322409">
        <w:t>.</w:t>
      </w:r>
      <w:r w:rsidR="00322409">
        <w:rPr>
          <w:rStyle w:val="FootnoteReference"/>
        </w:rPr>
        <w:footnoteReference w:id="83"/>
      </w:r>
      <w:r w:rsidR="00322409">
        <w:t xml:space="preserve">  He has also </w:t>
      </w:r>
      <w:r w:rsidR="001D7FF7">
        <w:t>explained his eventual acti</w:t>
      </w:r>
      <w:r w:rsidR="001D7FF7">
        <w:t>v</w:t>
      </w:r>
      <w:r w:rsidR="001D7FF7">
        <w:t>ism in support of gay rights in Russia</w:t>
      </w:r>
      <w:r w:rsidR="00322409">
        <w:t xml:space="preserve">, and </w:t>
      </w:r>
      <w:r w:rsidR="001D7FF7">
        <w:t>described the threats of violence and even death that he received after he became active in the struggle for gay rights in Ru</w:t>
      </w:r>
      <w:r w:rsidR="001D7FF7">
        <w:t>s</w:t>
      </w:r>
      <w:r w:rsidR="001D7FF7">
        <w:t>sia.</w:t>
      </w:r>
      <w:r w:rsidR="00322409">
        <w:rPr>
          <w:rStyle w:val="FootnoteReference"/>
        </w:rPr>
        <w:footnoteReference w:id="84"/>
      </w:r>
      <w:r w:rsidR="00322409">
        <w:t xml:space="preserve"> </w:t>
      </w:r>
    </w:p>
    <w:p w14:paraId="73F46CC7" w14:textId="16D9F388" w:rsidR="00322409" w:rsidRDefault="00B974F4" w:rsidP="002E07B9">
      <w:pPr>
        <w:pStyle w:val="SinglePara"/>
      </w:pPr>
      <w:r>
        <w:t>In sum, as a gay man, Mr. X</w:t>
      </w:r>
      <w:r w:rsidR="00322409">
        <w:t xml:space="preserve"> is a member of a particular social group eligible for asylum under the INA.</w:t>
      </w:r>
    </w:p>
    <w:p w14:paraId="02FE0AC1" w14:textId="49296F83" w:rsidR="00322409" w:rsidRDefault="00135D8F" w:rsidP="00E230FB">
      <w:pPr>
        <w:pStyle w:val="HeadingLeftBoldItal"/>
      </w:pPr>
      <w:r>
        <w:t>D.</w:t>
      </w:r>
      <w:r>
        <w:tab/>
        <w:t>Mr. X</w:t>
      </w:r>
      <w:r w:rsidR="00E230FB">
        <w:t xml:space="preserve"> Has Suffered Past Persecution Because He Is Gay</w:t>
      </w:r>
    </w:p>
    <w:p w14:paraId="66EF3659" w14:textId="77777777" w:rsidR="00F27AD4" w:rsidRDefault="00F6131C" w:rsidP="002E07B9">
      <w:pPr>
        <w:pStyle w:val="SinglePara"/>
      </w:pPr>
      <w:r>
        <w:t>The persecution of gay men in Russia and in Belarus includes ridicule, ha</w:t>
      </w:r>
      <w:r>
        <w:t>r</w:t>
      </w:r>
      <w:r>
        <w:t>assment, intimidation, violence and even death at the hands of both government off</w:t>
      </w:r>
      <w:r>
        <w:t>i</w:t>
      </w:r>
      <w:r>
        <w:t>cials and non-governmental actors whose conduct the government is unwilling to control.</w:t>
      </w:r>
      <w:r w:rsidR="000D4347">
        <w:rPr>
          <w:rStyle w:val="FootnoteReference"/>
        </w:rPr>
        <w:footnoteReference w:id="85"/>
      </w:r>
      <w:r w:rsidR="00972FB7">
        <w:t xml:space="preserve"> </w:t>
      </w:r>
      <w:r w:rsidR="000D4347">
        <w:t xml:space="preserve"> </w:t>
      </w:r>
      <w:r w:rsidR="005D0E51">
        <w:t>It is therefore unnecessary to prove that government officials actively pa</w:t>
      </w:r>
      <w:r w:rsidR="005D0E51">
        <w:t>r</w:t>
      </w:r>
      <w:r w:rsidR="005D0E51">
        <w:t>ticipated in the persecution of gay men, though in Russia and Belarus, the active pa</w:t>
      </w:r>
      <w:r w:rsidR="005D0E51">
        <w:t>r</w:t>
      </w:r>
      <w:r w:rsidR="005D0E51">
        <w:t>ticipation of the police and other government officials in homophobic persecution occurs.  It is sufficient that non-governmental actors persecute gay men and law e</w:t>
      </w:r>
      <w:r w:rsidR="005D0E51">
        <w:t>n</w:t>
      </w:r>
      <w:r w:rsidR="005D0E51">
        <w:t xml:space="preserve">forcement turns a blind eye to that conduct, refusing to accept victims’ complaints and failing to investigate the perpetrators’ behavior.  </w:t>
      </w:r>
    </w:p>
    <w:p w14:paraId="0204E2EF" w14:textId="77777777" w:rsidR="006F03E6" w:rsidRDefault="000D4347" w:rsidP="002E07B9">
      <w:pPr>
        <w:pStyle w:val="SinglePara"/>
      </w:pPr>
      <w:r>
        <w:t xml:space="preserve">In </w:t>
      </w:r>
      <w:r w:rsidRPr="00A020AB">
        <w:rPr>
          <w:i/>
        </w:rPr>
        <w:t>Doe v. Holder</w:t>
      </w:r>
      <w:r>
        <w:t>, for example, the Ninth Circuit held that the Board of I</w:t>
      </w:r>
      <w:r>
        <w:t>m</w:t>
      </w:r>
      <w:r>
        <w:t xml:space="preserve">migration Appeals erred </w:t>
      </w:r>
      <w:r w:rsidR="00A020AB">
        <w:t>when it concluded</w:t>
      </w:r>
      <w:r>
        <w:t xml:space="preserve"> that the petitioner</w:t>
      </w:r>
      <w:r w:rsidR="00A020AB">
        <w:t xml:space="preserve">, </w:t>
      </w:r>
      <w:r w:rsidR="00C22A3F">
        <w:t xml:space="preserve">a </w:t>
      </w:r>
      <w:r w:rsidR="005D0E51">
        <w:t>Russian gay ma</w:t>
      </w:r>
      <w:r w:rsidR="00C22A3F">
        <w:t xml:space="preserve">n </w:t>
      </w:r>
      <w:r w:rsidR="00A020AB">
        <w:t xml:space="preserve">who had been violently attacked </w:t>
      </w:r>
      <w:r w:rsidR="005D0E51">
        <w:t>because of his sexual orientation</w:t>
      </w:r>
      <w:r w:rsidR="00A020AB">
        <w:t xml:space="preserve"> and whose co</w:t>
      </w:r>
      <w:r w:rsidR="00A020AB">
        <w:t>m</w:t>
      </w:r>
      <w:r w:rsidR="00A020AB">
        <w:t>plaints to the police were ignored,</w:t>
      </w:r>
      <w:r>
        <w:t xml:space="preserve"> had failed to demonstrate that he was subject to past persecution on account of his </w:t>
      </w:r>
      <w:r w:rsidR="005D0E51">
        <w:t>homosexuality</w:t>
      </w:r>
      <w:r>
        <w:t>.</w:t>
      </w:r>
      <w:r>
        <w:rPr>
          <w:rStyle w:val="FootnoteReference"/>
        </w:rPr>
        <w:footnoteReference w:id="86"/>
      </w:r>
      <w:r w:rsidR="00A020AB">
        <w:t xml:space="preserve">  In that case, the petitioner and his partner had been attacked </w:t>
      </w:r>
      <w:r w:rsidR="00C22A3F">
        <w:t>on at least two occasions and seriously beaten.  The petitioner tried to report the attacks to the police, but the police refused to take his reports or to investigate the attack</w:t>
      </w:r>
      <w:r w:rsidR="00B7304D">
        <w:t>s</w:t>
      </w:r>
      <w:r w:rsidR="00C22A3F">
        <w:t>.  The Ninth Circuit concluded that the homoph</w:t>
      </w:r>
      <w:r w:rsidR="00C22A3F">
        <w:t>o</w:t>
      </w:r>
      <w:r w:rsidR="00C22A3F">
        <w:lastRenderedPageBreak/>
        <w:t>bic attacks and the Russian authorities’ decision to dismiss both of the petitioner’s complaints proved that the petitioner was “subject to past persecution on account of his homosexuality and that the Russian government was unable or unwilling to co</w:t>
      </w:r>
      <w:r w:rsidR="00C22A3F">
        <w:t>n</w:t>
      </w:r>
      <w:r w:rsidR="00C22A3F">
        <w:t>trol his persecutors.”</w:t>
      </w:r>
      <w:r w:rsidR="00C22A3F">
        <w:rPr>
          <w:rStyle w:val="FootnoteReference"/>
        </w:rPr>
        <w:footnoteReference w:id="87"/>
      </w:r>
    </w:p>
    <w:p w14:paraId="108292D7" w14:textId="733D4FF2" w:rsidR="00E230FB" w:rsidRDefault="005D0E51" w:rsidP="002E07B9">
      <w:pPr>
        <w:pStyle w:val="SinglePara"/>
      </w:pPr>
      <w:r>
        <w:t xml:space="preserve">As Mr. </w:t>
      </w:r>
      <w:r w:rsidR="00590581">
        <w:t xml:space="preserve">X </w:t>
      </w:r>
      <w:r>
        <w:t>has described in his declaration, he has been subject to past pers</w:t>
      </w:r>
      <w:r>
        <w:t>e</w:t>
      </w:r>
      <w:r>
        <w:t>cution on account of his homosexuality both by the police and by non-governmental actors whose conduct the police either could not or would not control.  In Belarus,</w:t>
      </w:r>
      <w:r w:rsidR="00442890">
        <w:t xml:space="preserve"> the persecution of </w:t>
      </w:r>
      <w:r>
        <w:t xml:space="preserve">Mr. </w:t>
      </w:r>
      <w:r w:rsidR="00212BA9">
        <w:t xml:space="preserve">X </w:t>
      </w:r>
      <w:r w:rsidR="00442890">
        <w:t>on account of his sexual orientation included: (</w:t>
      </w:r>
      <w:proofErr w:type="spellStart"/>
      <w:r w:rsidR="00442890">
        <w:t>i</w:t>
      </w:r>
      <w:proofErr w:type="spellEnd"/>
      <w:r w:rsidR="00442890">
        <w:t xml:space="preserve">) the attack and beating by fellow students at the </w:t>
      </w:r>
      <w:r w:rsidR="0062382B">
        <w:t xml:space="preserve">X </w:t>
      </w:r>
      <w:r w:rsidR="00442890">
        <w:t>University, which school officials did not control</w:t>
      </w:r>
      <w:r w:rsidR="00442890">
        <w:rPr>
          <w:rStyle w:val="FootnoteReference"/>
        </w:rPr>
        <w:footnoteReference w:id="88"/>
      </w:r>
      <w:r w:rsidR="00442890">
        <w:t>; (ii) the attack and robbery at gunpoint in his apart</w:t>
      </w:r>
      <w:r w:rsidR="008F5145">
        <w:t>ment in X</w:t>
      </w:r>
      <w:r w:rsidR="00442890">
        <w:t>, which the p</w:t>
      </w:r>
      <w:r w:rsidR="00442890">
        <w:t>o</w:t>
      </w:r>
      <w:r w:rsidR="00442890">
        <w:t>lice refused to investigate</w:t>
      </w:r>
      <w:r w:rsidR="00442890">
        <w:rPr>
          <w:rStyle w:val="FootnoteReference"/>
        </w:rPr>
        <w:footnoteReference w:id="89"/>
      </w:r>
      <w:r w:rsidR="00442890">
        <w:t xml:space="preserve">; and (iii) his arrest by police at his job </w:t>
      </w:r>
      <w:r>
        <w:t>in</w:t>
      </w:r>
      <w:r w:rsidR="008F5145">
        <w:t xml:space="preserve"> X</w:t>
      </w:r>
      <w:r w:rsidR="00442890">
        <w:t xml:space="preserve">, where the police </w:t>
      </w:r>
      <w:r>
        <w:t>held him in custody</w:t>
      </w:r>
      <w:r w:rsidR="00442890">
        <w:t xml:space="preserve"> and searched his apartment on the pretext of looking for an allegedly stolen painting.</w:t>
      </w:r>
      <w:r w:rsidR="00442890">
        <w:rPr>
          <w:rStyle w:val="FootnoteReference"/>
        </w:rPr>
        <w:footnoteReference w:id="90"/>
      </w:r>
      <w:r w:rsidR="00442890">
        <w:t xml:space="preserve">  In Russia, the persecution of Mr. </w:t>
      </w:r>
      <w:r w:rsidR="008F5145">
        <w:t xml:space="preserve">X </w:t>
      </w:r>
      <w:r w:rsidR="00442890">
        <w:t>included: (</w:t>
      </w:r>
      <w:proofErr w:type="spellStart"/>
      <w:r w:rsidR="00442890">
        <w:t>i</w:t>
      </w:r>
      <w:proofErr w:type="spellEnd"/>
      <w:r w:rsidR="00442890">
        <w:t>) his arrest and abuse by th</w:t>
      </w:r>
      <w:r w:rsidR="008F5145">
        <w:t>e police in X</w:t>
      </w:r>
      <w:r w:rsidR="00442890">
        <w:t xml:space="preserve"> on his way from a gay nightclub</w:t>
      </w:r>
      <w:r w:rsidR="00442890">
        <w:rPr>
          <w:rStyle w:val="FootnoteReference"/>
        </w:rPr>
        <w:footnoteReference w:id="91"/>
      </w:r>
      <w:r w:rsidR="002F176D">
        <w:t>; (ii) the police raids on gay-friendly establishments in which he and other patrons were held against their will, searched and harassed by law enforcement officers, and which prosecutors refused to investigate</w:t>
      </w:r>
      <w:r w:rsidR="002F176D">
        <w:rPr>
          <w:rStyle w:val="FootnoteReference"/>
        </w:rPr>
        <w:footnoteReference w:id="92"/>
      </w:r>
      <w:r w:rsidR="002F176D">
        <w:t>; (iii) his arrest by police and detention at an internet-freedom rally in</w:t>
      </w:r>
      <w:r w:rsidR="004C0FC3">
        <w:t xml:space="preserve"> X</w:t>
      </w:r>
      <w:r w:rsidR="002F176D">
        <w:rPr>
          <w:rStyle w:val="FootnoteReference"/>
        </w:rPr>
        <w:footnoteReference w:id="93"/>
      </w:r>
      <w:r w:rsidR="002F176D">
        <w:t xml:space="preserve">; (iv) the vandalism of his apartment in </w:t>
      </w:r>
      <w:r w:rsidR="004C0FC3">
        <w:t>X</w:t>
      </w:r>
      <w:r w:rsidR="002F176D">
        <w:t>, which the police refused to i</w:t>
      </w:r>
      <w:r w:rsidR="002F176D">
        <w:t>n</w:t>
      </w:r>
      <w:r w:rsidR="002F176D">
        <w:t>vestigate</w:t>
      </w:r>
      <w:r w:rsidR="002F176D">
        <w:rPr>
          <w:rStyle w:val="FootnoteReference"/>
        </w:rPr>
        <w:footnoteReference w:id="94"/>
      </w:r>
      <w:r w:rsidR="002F176D">
        <w:t xml:space="preserve">; and (v) the severe beating in </w:t>
      </w:r>
      <w:r w:rsidR="004C0FC3">
        <w:t xml:space="preserve">X </w:t>
      </w:r>
      <w:r w:rsidR="002F176D">
        <w:t>and the numerous threatening text me</w:t>
      </w:r>
      <w:r w:rsidR="002F176D">
        <w:t>s</w:t>
      </w:r>
      <w:r w:rsidR="002F176D">
        <w:t xml:space="preserve">sages he received between </w:t>
      </w:r>
      <w:r w:rsidR="004C0FC3">
        <w:t xml:space="preserve">X </w:t>
      </w:r>
      <w:r w:rsidR="002F176D">
        <w:t>and</w:t>
      </w:r>
      <w:r w:rsidR="004C0FC3">
        <w:t xml:space="preserve"> X</w:t>
      </w:r>
      <w:r w:rsidR="002F176D">
        <w:t>, which the police refused to in</w:t>
      </w:r>
      <w:r w:rsidR="004C0FC3">
        <w:t>vestigate, telling Mr. X</w:t>
      </w:r>
      <w:r w:rsidR="002F176D">
        <w:t xml:space="preserve"> that “you fags are not going to get any protection from anyone.”</w:t>
      </w:r>
      <w:r w:rsidR="002F176D">
        <w:rPr>
          <w:rStyle w:val="FootnoteReference"/>
        </w:rPr>
        <w:footnoteReference w:id="95"/>
      </w:r>
    </w:p>
    <w:p w14:paraId="7C47F56E" w14:textId="48512B4D" w:rsidR="00E230FB" w:rsidRDefault="00BF0A75" w:rsidP="002E07B9">
      <w:pPr>
        <w:pStyle w:val="SinglePara"/>
      </w:pPr>
      <w:r>
        <w:t>The past persecution of Mr.</w:t>
      </w:r>
      <w:r w:rsidR="005C53EF">
        <w:t xml:space="preserve"> X</w:t>
      </w:r>
      <w:r>
        <w:t xml:space="preserve">, both by the police and by non-governmental actors whose conduct the </w:t>
      </w:r>
      <w:r w:rsidR="00B7304D">
        <w:t>government</w:t>
      </w:r>
      <w:r>
        <w:t xml:space="preserve"> w</w:t>
      </w:r>
      <w:r w:rsidR="00B7304D">
        <w:t>as</w:t>
      </w:r>
      <w:r>
        <w:t xml:space="preserve"> unable or unwilling to control, on account of his sexual orientation constitutes a sufficient basis on which to grant Mr.</w:t>
      </w:r>
      <w:r w:rsidR="005C53EF">
        <w:t xml:space="preserve"> X</w:t>
      </w:r>
      <w:r>
        <w:t>’s a</w:t>
      </w:r>
      <w:r>
        <w:t>p</w:t>
      </w:r>
      <w:r>
        <w:t>plication for asylum.</w:t>
      </w:r>
    </w:p>
    <w:p w14:paraId="6F9F7E0F" w14:textId="432019EF" w:rsidR="00E230FB" w:rsidRDefault="00DA25F0" w:rsidP="00E230FB">
      <w:pPr>
        <w:pStyle w:val="HeadingLeftBoldItal"/>
      </w:pPr>
      <w:r>
        <w:lastRenderedPageBreak/>
        <w:t>E.</w:t>
      </w:r>
      <w:r>
        <w:tab/>
        <w:t>Mr. X</w:t>
      </w:r>
      <w:r w:rsidR="00E230FB">
        <w:t xml:space="preserve"> Has A Well-Founded Fear Of Future Persecution</w:t>
      </w:r>
    </w:p>
    <w:p w14:paraId="54B40474" w14:textId="62492082" w:rsidR="002E07B9" w:rsidRDefault="00BF0A75" w:rsidP="002E07B9">
      <w:pPr>
        <w:pStyle w:val="SinglePara"/>
      </w:pPr>
      <w:r>
        <w:t>“An applicant who has been found to have established . . . past persecution shall also be presumed to have a well-founded fear of persecution on the basis of the original claim.”</w:t>
      </w:r>
      <w:r>
        <w:rPr>
          <w:rStyle w:val="FootnoteReference"/>
        </w:rPr>
        <w:footnoteReference w:id="96"/>
      </w:r>
      <w:r>
        <w:t xml:space="preserve">  </w:t>
      </w:r>
      <w:r w:rsidR="003A2DC7">
        <w:t>Having demonstrated the past persecution that he suffered i</w:t>
      </w:r>
      <w:r w:rsidR="003B1D0A">
        <w:t>n both Russia and Belarus, Mr. X</w:t>
      </w:r>
      <w:r w:rsidR="003A2DC7">
        <w:t xml:space="preserve"> is therefore presumed to have a well-founded fear of pe</w:t>
      </w:r>
      <w:r w:rsidR="003A2DC7">
        <w:t>r</w:t>
      </w:r>
      <w:r w:rsidR="003A2DC7">
        <w:t>secution if he were forced to return to either of these countries.  That well-founded fear fully supports the grant of Mr.</w:t>
      </w:r>
      <w:r w:rsidR="00534B72">
        <w:t xml:space="preserve"> X</w:t>
      </w:r>
      <w:r w:rsidR="003A2DC7">
        <w:t xml:space="preserve">’s asylum application. </w:t>
      </w:r>
      <w:r w:rsidR="006F03E6">
        <w:t xml:space="preserve"> </w:t>
      </w:r>
    </w:p>
    <w:p w14:paraId="191BAB7D" w14:textId="3AD2B80B" w:rsidR="00987B31" w:rsidRDefault="003A2DC7" w:rsidP="002E07B9">
      <w:pPr>
        <w:pStyle w:val="SinglePara"/>
      </w:pPr>
      <w:r>
        <w:t xml:space="preserve">That fear, which Mr. </w:t>
      </w:r>
      <w:r w:rsidR="00534B72">
        <w:t xml:space="preserve">X </w:t>
      </w:r>
      <w:r>
        <w:t>felt since before he came to the United States, has i</w:t>
      </w:r>
      <w:r>
        <w:t>n</w:t>
      </w:r>
      <w:r>
        <w:t xml:space="preserve">tensified with the receipt of additional threatening text messages since his arrival in the United States, and the news that </w:t>
      </w:r>
      <w:r w:rsidR="00161E3D">
        <w:t xml:space="preserve">X </w:t>
      </w:r>
      <w:r>
        <w:t>authorities have again begun to attack gay men with impunity, seemingly encouraged by the Russian gay propaganda law and the homophobic attitude and statements of Russian government officials and state-owned media.</w:t>
      </w:r>
    </w:p>
    <w:p w14:paraId="558E899D" w14:textId="6D00C86A" w:rsidR="003A2DC7" w:rsidRDefault="00987B31" w:rsidP="002E07B9">
      <w:pPr>
        <w:pStyle w:val="SinglePara"/>
      </w:pPr>
      <w:r>
        <w:t>Finally, although the presumption of a well-founded fear of future persec</w:t>
      </w:r>
      <w:r>
        <w:t>u</w:t>
      </w:r>
      <w:r>
        <w:t>tion may be rebutted by a finding that the applicant “</w:t>
      </w:r>
      <w:r w:rsidRPr="00987B31">
        <w:rPr>
          <w:rFonts w:asciiTheme="minorHAnsi" w:hAnsiTheme="minorHAnsi" w:cstheme="minorHAnsi"/>
          <w:color w:val="333333"/>
          <w:lang w:val="en"/>
        </w:rPr>
        <w:t>could avoid future persecution by relocating to another part of the applicant</w:t>
      </w:r>
      <w:r>
        <w:rPr>
          <w:rFonts w:asciiTheme="minorHAnsi" w:hAnsiTheme="minorHAnsi" w:cstheme="minorHAnsi"/>
          <w:color w:val="333333"/>
          <w:lang w:val="en"/>
        </w:rPr>
        <w:t>’</w:t>
      </w:r>
      <w:r w:rsidRPr="00987B31">
        <w:rPr>
          <w:rFonts w:asciiTheme="minorHAnsi" w:hAnsiTheme="minorHAnsi" w:cstheme="minorHAnsi"/>
          <w:color w:val="333333"/>
          <w:lang w:val="en"/>
        </w:rPr>
        <w:t>s country of nationality</w:t>
      </w:r>
      <w:r>
        <w:rPr>
          <w:rFonts w:asciiTheme="minorHAnsi" w:hAnsiTheme="minorHAnsi" w:cstheme="minorHAnsi"/>
          <w:color w:val="333333"/>
          <w:lang w:val="en"/>
        </w:rPr>
        <w:t xml:space="preserve"> . . . and </w:t>
      </w:r>
      <w:r w:rsidRPr="00987B31">
        <w:rPr>
          <w:rFonts w:asciiTheme="minorHAnsi" w:hAnsiTheme="minorHAnsi" w:cstheme="minorHAnsi"/>
          <w:color w:val="333333"/>
          <w:lang w:val="en"/>
        </w:rPr>
        <w:t>under all the circumstances, it would be reasonable t</w:t>
      </w:r>
      <w:r>
        <w:rPr>
          <w:rFonts w:asciiTheme="minorHAnsi" w:hAnsiTheme="minorHAnsi" w:cstheme="minorHAnsi"/>
          <w:color w:val="333333"/>
          <w:lang w:val="en"/>
        </w:rPr>
        <w:t>o expect the applicant to do so,”</w:t>
      </w:r>
      <w:r>
        <w:rPr>
          <w:rStyle w:val="FootnoteReference"/>
        </w:rPr>
        <w:footnoteReference w:id="97"/>
      </w:r>
      <w:r>
        <w:rPr>
          <w:rFonts w:asciiTheme="minorHAnsi" w:hAnsiTheme="minorHAnsi" w:cstheme="minorHAnsi"/>
          <w:color w:val="333333"/>
          <w:lang w:val="en"/>
        </w:rPr>
        <w:t xml:space="preserve"> there is no basis in fact on which to make such a finding.  The gay propaganda laws that have enflamed homophobic sentiment and justified the persecution of gay men in Russia and Belarus are national laws that apply equally throughout Mr.</w:t>
      </w:r>
      <w:r w:rsidR="00161E3D">
        <w:rPr>
          <w:rFonts w:asciiTheme="minorHAnsi" w:hAnsiTheme="minorHAnsi" w:cstheme="minorHAnsi"/>
          <w:color w:val="333333"/>
          <w:lang w:val="en"/>
        </w:rPr>
        <w:t xml:space="preserve"> X</w:t>
      </w:r>
      <w:r>
        <w:rPr>
          <w:rFonts w:asciiTheme="minorHAnsi" w:hAnsiTheme="minorHAnsi" w:cstheme="minorHAnsi"/>
          <w:color w:val="333333"/>
          <w:lang w:val="en"/>
        </w:rPr>
        <w:t>’s cou</w:t>
      </w:r>
      <w:r>
        <w:rPr>
          <w:rFonts w:asciiTheme="minorHAnsi" w:hAnsiTheme="minorHAnsi" w:cstheme="minorHAnsi"/>
          <w:color w:val="333333"/>
          <w:lang w:val="en"/>
        </w:rPr>
        <w:t>n</w:t>
      </w:r>
      <w:r>
        <w:rPr>
          <w:rFonts w:asciiTheme="minorHAnsi" w:hAnsiTheme="minorHAnsi" w:cstheme="minorHAnsi"/>
          <w:color w:val="333333"/>
          <w:lang w:val="en"/>
        </w:rPr>
        <w:t>tries of nationality.</w:t>
      </w:r>
      <w:r>
        <w:rPr>
          <w:rFonts w:ascii="Helvetica" w:hAnsi="Helvetica" w:cs="Arial"/>
          <w:color w:val="333333"/>
          <w:sz w:val="21"/>
          <w:szCs w:val="21"/>
          <w:lang w:val="en"/>
        </w:rPr>
        <w:t xml:space="preserve"> </w:t>
      </w:r>
      <w:r w:rsidR="003A2DC7">
        <w:t xml:space="preserve"> </w:t>
      </w:r>
      <w:r>
        <w:t>Published reports confirm that anti-gay persecution is wid</w:t>
      </w:r>
      <w:r>
        <w:t>e</w:t>
      </w:r>
      <w:r>
        <w:t>spread throughout the two nations</w:t>
      </w:r>
      <w:r w:rsidR="00010BE1">
        <w:t>, from large cities like Moscow and St. Petersburg and Minsk to more rural regions like Chechnya in the south and polar cities like A</w:t>
      </w:r>
      <w:r w:rsidR="00010BE1">
        <w:t>r</w:t>
      </w:r>
      <w:r w:rsidR="00010BE1">
        <w:t xml:space="preserve">khangelsk and </w:t>
      </w:r>
      <w:proofErr w:type="spellStart"/>
      <w:r w:rsidR="00010BE1">
        <w:t>Salekhard</w:t>
      </w:r>
      <w:proofErr w:type="spellEnd"/>
      <w:r w:rsidR="00010BE1">
        <w:t xml:space="preserve"> in the north</w:t>
      </w:r>
      <w:r>
        <w:t>.</w:t>
      </w:r>
      <w:r w:rsidR="00010BE1">
        <w:rPr>
          <w:rStyle w:val="FootnoteReference"/>
        </w:rPr>
        <w:footnoteReference w:id="98"/>
      </w:r>
      <w:r w:rsidR="00010BE1">
        <w:t xml:space="preserve">  No place in Russia or Belarus has been identified as a safe place for gay men to seek refuge or to avoid future persecution, and it would therefore be unreasonable to force Mr. </w:t>
      </w:r>
      <w:r w:rsidR="00161E3D">
        <w:t xml:space="preserve">X </w:t>
      </w:r>
      <w:r w:rsidR="00010BE1">
        <w:t>to return to Russia or to Bel</w:t>
      </w:r>
      <w:r w:rsidR="00010BE1">
        <w:t>a</w:t>
      </w:r>
      <w:r w:rsidR="00010BE1">
        <w:t xml:space="preserve">rus. </w:t>
      </w:r>
    </w:p>
    <w:p w14:paraId="58423682" w14:textId="77777777" w:rsidR="00E230FB" w:rsidRDefault="00A94960" w:rsidP="00A94960">
      <w:pPr>
        <w:pStyle w:val="HeadingLeftBold"/>
      </w:pPr>
      <w:r>
        <w:t>IV.</w:t>
      </w:r>
      <w:r>
        <w:tab/>
        <w:t>CONCLUSION</w:t>
      </w:r>
    </w:p>
    <w:p w14:paraId="7F31F755" w14:textId="77356BC9" w:rsidR="00E230FB" w:rsidRPr="006F03E6" w:rsidRDefault="00161E3D" w:rsidP="002E07B9">
      <w:pPr>
        <w:pStyle w:val="SinglePara"/>
      </w:pPr>
      <w:r>
        <w:t>Mr. X</w:t>
      </w:r>
      <w:r w:rsidR="00A94960">
        <w:t xml:space="preserve"> respectfully submits that he has met the statutory requirements for as</w:t>
      </w:r>
      <w:r w:rsidR="00A94960">
        <w:t>y</w:t>
      </w:r>
      <w:r w:rsidR="00A94960">
        <w:t xml:space="preserve">lum.  He is unable to return to Russia or Belarus because he is an openly gay man who has suffered past persecution for being gay and who has a well-founded fear of future persecution if he were forced to return to either country.  Living in the United States will allow Mr. </w:t>
      </w:r>
      <w:r w:rsidR="00B623B1">
        <w:t xml:space="preserve">X </w:t>
      </w:r>
      <w:r w:rsidR="00A94960">
        <w:t>to avoid further persecution on account of his sexual orient</w:t>
      </w:r>
      <w:r w:rsidR="00A94960">
        <w:t>a</w:t>
      </w:r>
      <w:r w:rsidR="00A94960">
        <w:lastRenderedPageBreak/>
        <w:t>tion and to become a productive and valued member of his community here in Ame</w:t>
      </w:r>
      <w:r w:rsidR="00A94960">
        <w:t>r</w:t>
      </w:r>
      <w:r w:rsidR="00A94960">
        <w:t>ica.  For these reasons, we ask that you grant Mr.</w:t>
      </w:r>
      <w:r w:rsidR="00B623B1">
        <w:t xml:space="preserve"> X</w:t>
      </w:r>
      <w:r w:rsidR="00A94960">
        <w:t>’s application for asylum and withholding of removal.</w:t>
      </w:r>
    </w:p>
    <w:p w14:paraId="3AEA7D7A" w14:textId="77777777" w:rsidR="002E07B9" w:rsidRDefault="006F03E6" w:rsidP="002E07B9">
      <w:pPr>
        <w:pStyle w:val="SinglePara"/>
        <w:ind w:firstLine="4320"/>
      </w:pPr>
      <w:r>
        <w:t>Sincerely,</w:t>
      </w:r>
    </w:p>
    <w:p w14:paraId="50DC8610" w14:textId="77777777" w:rsidR="00A94960" w:rsidRDefault="00A94960" w:rsidP="002E07B9">
      <w:pPr>
        <w:pStyle w:val="SinglePara"/>
        <w:ind w:firstLine="4320"/>
      </w:pPr>
    </w:p>
    <w:p w14:paraId="370FFE5D" w14:textId="60029650" w:rsidR="00F27AD4" w:rsidRDefault="00022285" w:rsidP="002E07B9">
      <w:pPr>
        <w:pStyle w:val="SinglePara"/>
        <w:ind w:firstLine="4320"/>
      </w:pPr>
      <w:r>
        <w:t>X</w:t>
      </w:r>
    </w:p>
    <w:p w14:paraId="7B9DF47F" w14:textId="77777777" w:rsidR="00F27AD4" w:rsidRDefault="00F27AD4" w:rsidP="002E07B9">
      <w:pPr>
        <w:pStyle w:val="SinglePara"/>
        <w:ind w:firstLine="4320"/>
      </w:pPr>
    </w:p>
    <w:p w14:paraId="75B9AD9C" w14:textId="5534CB3D" w:rsidR="00A94960" w:rsidRDefault="00022285" w:rsidP="002E07B9">
      <w:pPr>
        <w:pStyle w:val="SinglePara"/>
        <w:ind w:firstLine="4320"/>
      </w:pPr>
      <w:r>
        <w:t>X</w:t>
      </w:r>
      <w:r w:rsidR="00A94960">
        <w:br/>
      </w:r>
      <w:r w:rsidR="00A94960">
        <w:tab/>
      </w:r>
      <w:r w:rsidR="00A94960">
        <w:tab/>
      </w:r>
      <w:r w:rsidR="00A94960">
        <w:tab/>
      </w:r>
      <w:r w:rsidR="00A94960">
        <w:tab/>
      </w:r>
      <w:r w:rsidR="00A94960">
        <w:tab/>
      </w:r>
      <w:r w:rsidR="00A94960">
        <w:tab/>
      </w:r>
      <w:r w:rsidR="00A94960" w:rsidRPr="00A94960">
        <w:rPr>
          <w:i/>
        </w:rPr>
        <w:t>Pro Bono</w:t>
      </w:r>
      <w:r w:rsidR="00A94960">
        <w:t xml:space="preserve"> Couns</w:t>
      </w:r>
      <w:r>
        <w:t>el for Mr. X</w:t>
      </w:r>
    </w:p>
    <w:sectPr w:rsidR="00A94960" w:rsidSect="002E07B9">
      <w:headerReference w:type="default" r:id="rId8"/>
      <w:footerReference w:type="first" r:id="rId9"/>
      <w:pgSz w:w="12240" w:h="15840" w:code="1"/>
      <w:pgMar w:top="2736" w:right="1872" w:bottom="1440" w:left="2160" w:header="965" w:footer="96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786415" w14:textId="77777777" w:rsidR="00C21B72" w:rsidRDefault="00C21B72" w:rsidP="002E07B9">
      <w:r>
        <w:separator/>
      </w:r>
    </w:p>
  </w:endnote>
  <w:endnote w:type="continuationSeparator" w:id="0">
    <w:p w14:paraId="79D789A9" w14:textId="77777777" w:rsidR="00C21B72" w:rsidRDefault="00C21B72" w:rsidP="002E0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EngraversGothic BT">
    <w:altName w:val="Arial"/>
    <w:charset w:val="00"/>
    <w:family w:val="swiss"/>
    <w:pitch w:val="variable"/>
    <w:sig w:usb0="800000AF" w:usb1="1000204A" w:usb2="00000000" w:usb3="00000000" w:csb0="00000011" w:csb1="00000000"/>
  </w:font>
  <w:font w:name="Courier New">
    <w:panose1 w:val="02070309020205020404"/>
    <w:charset w:val="00"/>
    <w:family w:val="modern"/>
    <w:pitch w:val="fixed"/>
    <w:sig w:usb0="E0002AFF" w:usb1="C0007843" w:usb2="00000009" w:usb3="00000000" w:csb0="000001FF" w:csb1="00000000"/>
  </w:font>
  <w:font w:name="robotoregular">
    <w:altName w:val="Times New Roman"/>
    <w:charset w:val="00"/>
    <w:family w:val="auto"/>
    <w:pitch w:val="default"/>
  </w:font>
  <w:font w:name="Arial">
    <w:panose1 w:val="020B0604020202020204"/>
    <w:charset w:val="00"/>
    <w:family w:val="swiss"/>
    <w:pitch w:val="variable"/>
    <w:sig w:usb0="20002A87" w:usb1="00000000" w:usb2="00000000" w:usb3="00000000" w:csb0="000001FF" w:csb1="00000000"/>
  </w:font>
  <w:font w:name="IBM Plex San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95ECB" w14:textId="77777777" w:rsidR="002F176D" w:rsidRDefault="002F176D" w:rsidP="00EA0858">
    <w:pPr>
      <w:pStyle w:val="Footer"/>
      <w:tabs>
        <w:tab w:val="clear" w:pos="5040"/>
        <w:tab w:val="clear" w:pos="9360"/>
        <w:tab w:val="center" w:pos="4147"/>
        <w:tab w:val="right" w:pos="819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56EFED" w14:textId="77777777" w:rsidR="00C21B72" w:rsidRDefault="00C21B72" w:rsidP="002E07B9">
      <w:r>
        <w:separator/>
      </w:r>
    </w:p>
  </w:footnote>
  <w:footnote w:type="continuationSeparator" w:id="0">
    <w:p w14:paraId="1ED2950E" w14:textId="77777777" w:rsidR="00C21B72" w:rsidRDefault="00C21B72" w:rsidP="002E07B9">
      <w:r>
        <w:continuationSeparator/>
      </w:r>
    </w:p>
  </w:footnote>
  <w:footnote w:id="1">
    <w:p w14:paraId="38C904E3" w14:textId="77777777" w:rsidR="002F176D" w:rsidRDefault="002F176D">
      <w:pPr>
        <w:pStyle w:val="FootnoteText"/>
      </w:pPr>
      <w:r>
        <w:rPr>
          <w:rStyle w:val="FootnoteReference"/>
        </w:rPr>
        <w:footnoteRef/>
      </w:r>
      <w:r>
        <w:t xml:space="preserve"> </w:t>
      </w:r>
      <w:r>
        <w:tab/>
        <w:t xml:space="preserve">Declaration of </w:t>
      </w:r>
      <w:r w:rsidR="00AF3670">
        <w:t xml:space="preserve">X </w:t>
      </w:r>
      <w:r>
        <w:t>in Support of his Application for Asylum, Withholding of Removal, and Relief Under the Convention A</w:t>
      </w:r>
      <w:r w:rsidR="00B1306A">
        <w:t xml:space="preserve">gainst Torture, dated </w:t>
      </w:r>
      <w:r w:rsidR="00AF3670">
        <w:t xml:space="preserve">X </w:t>
      </w:r>
      <w:r>
        <w:t>(“Decl.”), ¶ 1.</w:t>
      </w:r>
    </w:p>
  </w:footnote>
  <w:footnote w:id="2">
    <w:p w14:paraId="12CD47E5" w14:textId="77777777" w:rsidR="002F176D" w:rsidRDefault="002F176D">
      <w:pPr>
        <w:pStyle w:val="FootnoteText"/>
      </w:pPr>
      <w:r>
        <w:rPr>
          <w:rStyle w:val="FootnoteReference"/>
        </w:rPr>
        <w:footnoteRef/>
      </w:r>
      <w:r>
        <w:t xml:space="preserve"> </w:t>
      </w:r>
      <w:r>
        <w:tab/>
      </w:r>
      <w:r w:rsidRPr="00020F1D">
        <w:rPr>
          <w:i/>
        </w:rPr>
        <w:t>Id.</w:t>
      </w:r>
    </w:p>
  </w:footnote>
  <w:footnote w:id="3">
    <w:p w14:paraId="684BC972" w14:textId="77777777" w:rsidR="002F176D" w:rsidRDefault="002F176D" w:rsidP="00B22E99">
      <w:pPr>
        <w:pStyle w:val="FootnoteText"/>
      </w:pPr>
      <w:r>
        <w:rPr>
          <w:rStyle w:val="FootnoteReference"/>
        </w:rPr>
        <w:footnoteRef/>
      </w:r>
      <w:r>
        <w:t xml:space="preserve"> </w:t>
      </w:r>
      <w:r>
        <w:tab/>
      </w:r>
      <w:proofErr w:type="gramStart"/>
      <w:r w:rsidRPr="00B22E99">
        <w:rPr>
          <w:i/>
        </w:rPr>
        <w:t>Id.</w:t>
      </w:r>
      <w:r>
        <w:t xml:space="preserve"> ¶ 8.</w:t>
      </w:r>
      <w:proofErr w:type="gramEnd"/>
    </w:p>
  </w:footnote>
  <w:footnote w:id="4">
    <w:p w14:paraId="3E7C0F87" w14:textId="77777777" w:rsidR="002F176D" w:rsidRDefault="002F176D">
      <w:pPr>
        <w:pStyle w:val="FootnoteText"/>
      </w:pPr>
      <w:r>
        <w:rPr>
          <w:rStyle w:val="FootnoteReference"/>
        </w:rPr>
        <w:footnoteRef/>
      </w:r>
      <w:r>
        <w:t xml:space="preserve"> </w:t>
      </w:r>
      <w:r>
        <w:tab/>
      </w:r>
      <w:proofErr w:type="gramStart"/>
      <w:r w:rsidRPr="00B22E99">
        <w:rPr>
          <w:i/>
        </w:rPr>
        <w:t>Id.</w:t>
      </w:r>
      <w:r>
        <w:t xml:space="preserve"> ¶ 9.</w:t>
      </w:r>
      <w:proofErr w:type="gramEnd"/>
    </w:p>
  </w:footnote>
  <w:footnote w:id="5">
    <w:p w14:paraId="386C8436" w14:textId="77777777" w:rsidR="002F176D" w:rsidRDefault="002F176D">
      <w:pPr>
        <w:pStyle w:val="FootnoteText"/>
      </w:pPr>
      <w:r>
        <w:rPr>
          <w:rStyle w:val="FootnoteReference"/>
        </w:rPr>
        <w:footnoteRef/>
      </w:r>
      <w:r>
        <w:t xml:space="preserve"> </w:t>
      </w:r>
      <w:r>
        <w:tab/>
      </w:r>
      <w:proofErr w:type="gramStart"/>
      <w:r w:rsidRPr="009B7BAE">
        <w:rPr>
          <w:i/>
        </w:rPr>
        <w:t>Id.</w:t>
      </w:r>
      <w:r>
        <w:t xml:space="preserve"> ¶ 10.</w:t>
      </w:r>
      <w:proofErr w:type="gramEnd"/>
    </w:p>
  </w:footnote>
  <w:footnote w:id="6">
    <w:p w14:paraId="3618E11C" w14:textId="77777777" w:rsidR="002F176D" w:rsidRDefault="002F176D">
      <w:pPr>
        <w:pStyle w:val="FootnoteText"/>
      </w:pPr>
      <w:r>
        <w:rPr>
          <w:rStyle w:val="FootnoteReference"/>
        </w:rPr>
        <w:footnoteRef/>
      </w:r>
      <w:r>
        <w:t xml:space="preserve"> </w:t>
      </w:r>
      <w:r>
        <w:tab/>
      </w:r>
      <w:r w:rsidRPr="009B7BAE">
        <w:rPr>
          <w:i/>
        </w:rPr>
        <w:t>Id.</w:t>
      </w:r>
      <w:r>
        <w:t xml:space="preserve"> ¶¶ 11-13.</w:t>
      </w:r>
    </w:p>
  </w:footnote>
  <w:footnote w:id="7">
    <w:p w14:paraId="7380D2AC" w14:textId="77777777" w:rsidR="002F176D" w:rsidRDefault="002F176D">
      <w:pPr>
        <w:pStyle w:val="FootnoteText"/>
      </w:pPr>
      <w:r>
        <w:rPr>
          <w:rStyle w:val="FootnoteReference"/>
        </w:rPr>
        <w:footnoteRef/>
      </w:r>
      <w:r>
        <w:t xml:space="preserve"> </w:t>
      </w:r>
      <w:r>
        <w:tab/>
      </w:r>
      <w:proofErr w:type="gramStart"/>
      <w:r w:rsidRPr="00054CC8">
        <w:rPr>
          <w:i/>
        </w:rPr>
        <w:t>Id.</w:t>
      </w:r>
      <w:r>
        <w:t xml:space="preserve"> ¶ 12.</w:t>
      </w:r>
      <w:proofErr w:type="gramEnd"/>
    </w:p>
  </w:footnote>
  <w:footnote w:id="8">
    <w:p w14:paraId="301F1914" w14:textId="77777777" w:rsidR="002F176D" w:rsidRDefault="002F176D">
      <w:pPr>
        <w:pStyle w:val="FootnoteText"/>
      </w:pPr>
      <w:r>
        <w:rPr>
          <w:rStyle w:val="FootnoteReference"/>
        </w:rPr>
        <w:footnoteRef/>
      </w:r>
      <w:r>
        <w:t xml:space="preserve"> </w:t>
      </w:r>
      <w:r>
        <w:tab/>
      </w:r>
      <w:r w:rsidRPr="009B7BAE">
        <w:rPr>
          <w:i/>
        </w:rPr>
        <w:t>Id.</w:t>
      </w:r>
      <w:r>
        <w:t xml:space="preserve"> ¶¶ 12-13.</w:t>
      </w:r>
    </w:p>
  </w:footnote>
  <w:footnote w:id="9">
    <w:p w14:paraId="3411F333" w14:textId="77777777" w:rsidR="002F176D" w:rsidRDefault="002F176D">
      <w:pPr>
        <w:pStyle w:val="FootnoteText"/>
      </w:pPr>
      <w:r>
        <w:rPr>
          <w:rStyle w:val="FootnoteReference"/>
        </w:rPr>
        <w:footnoteRef/>
      </w:r>
      <w:r>
        <w:t xml:space="preserve"> </w:t>
      </w:r>
      <w:r>
        <w:tab/>
      </w:r>
      <w:proofErr w:type="gramStart"/>
      <w:r w:rsidRPr="00776243">
        <w:rPr>
          <w:i/>
        </w:rPr>
        <w:t>Id.</w:t>
      </w:r>
      <w:r>
        <w:t xml:space="preserve"> ¶ 15.</w:t>
      </w:r>
      <w:proofErr w:type="gramEnd"/>
    </w:p>
  </w:footnote>
  <w:footnote w:id="10">
    <w:p w14:paraId="2FABCAB0" w14:textId="77777777" w:rsidR="002F176D" w:rsidRDefault="002F176D">
      <w:pPr>
        <w:pStyle w:val="FootnoteText"/>
      </w:pPr>
      <w:r>
        <w:rPr>
          <w:rStyle w:val="FootnoteReference"/>
        </w:rPr>
        <w:footnoteRef/>
      </w:r>
      <w:r>
        <w:t xml:space="preserve"> </w:t>
      </w:r>
      <w:r>
        <w:tab/>
      </w:r>
      <w:r w:rsidRPr="00776243">
        <w:rPr>
          <w:i/>
        </w:rPr>
        <w:t>Id.</w:t>
      </w:r>
      <w:r>
        <w:t xml:space="preserve"> ¶¶ 16-17.</w:t>
      </w:r>
    </w:p>
  </w:footnote>
  <w:footnote w:id="11">
    <w:p w14:paraId="6C8B8FA3" w14:textId="77777777" w:rsidR="002F176D" w:rsidRDefault="002F176D" w:rsidP="00A63BE2">
      <w:pPr>
        <w:pStyle w:val="FootnoteText"/>
      </w:pPr>
      <w:r>
        <w:rPr>
          <w:rStyle w:val="FootnoteReference"/>
        </w:rPr>
        <w:footnoteRef/>
      </w:r>
      <w:r>
        <w:t xml:space="preserve"> </w:t>
      </w:r>
      <w:r>
        <w:tab/>
      </w:r>
      <w:proofErr w:type="gramStart"/>
      <w:r w:rsidRPr="00776243">
        <w:rPr>
          <w:i/>
        </w:rPr>
        <w:t>Id.</w:t>
      </w:r>
      <w:r>
        <w:t xml:space="preserve"> ¶ 18.</w:t>
      </w:r>
      <w:proofErr w:type="gramEnd"/>
    </w:p>
  </w:footnote>
  <w:footnote w:id="12">
    <w:p w14:paraId="411247EA" w14:textId="77777777" w:rsidR="002F176D" w:rsidRDefault="002F176D" w:rsidP="00A63BE2">
      <w:pPr>
        <w:pStyle w:val="FootnoteText"/>
      </w:pPr>
      <w:r>
        <w:rPr>
          <w:rStyle w:val="FootnoteReference"/>
        </w:rPr>
        <w:footnoteRef/>
      </w:r>
      <w:r>
        <w:t xml:space="preserve"> </w:t>
      </w:r>
      <w:r>
        <w:tab/>
      </w:r>
      <w:r w:rsidRPr="00776243">
        <w:rPr>
          <w:i/>
        </w:rPr>
        <w:t>Id.</w:t>
      </w:r>
      <w:r>
        <w:t xml:space="preserve"> ¶¶ 19-21.</w:t>
      </w:r>
    </w:p>
  </w:footnote>
  <w:footnote w:id="13">
    <w:p w14:paraId="755DC4D4" w14:textId="77777777" w:rsidR="002F176D" w:rsidRDefault="002F176D">
      <w:pPr>
        <w:pStyle w:val="FootnoteText"/>
      </w:pPr>
      <w:r>
        <w:rPr>
          <w:rStyle w:val="FootnoteReference"/>
        </w:rPr>
        <w:footnoteRef/>
      </w:r>
      <w:r>
        <w:t xml:space="preserve"> </w:t>
      </w:r>
      <w:r>
        <w:tab/>
      </w:r>
      <w:r w:rsidRPr="00A63BE2">
        <w:rPr>
          <w:i/>
        </w:rPr>
        <w:t>Id.</w:t>
      </w:r>
    </w:p>
  </w:footnote>
  <w:footnote w:id="14">
    <w:p w14:paraId="2954FDA4" w14:textId="77777777" w:rsidR="002F176D" w:rsidRDefault="002F176D">
      <w:pPr>
        <w:pStyle w:val="FootnoteText"/>
      </w:pPr>
      <w:r>
        <w:rPr>
          <w:rStyle w:val="FootnoteReference"/>
        </w:rPr>
        <w:footnoteRef/>
      </w:r>
      <w:r>
        <w:t xml:space="preserve"> </w:t>
      </w:r>
      <w:r>
        <w:tab/>
      </w:r>
      <w:proofErr w:type="gramStart"/>
      <w:r w:rsidRPr="00E952F2">
        <w:rPr>
          <w:i/>
        </w:rPr>
        <w:t>Id.</w:t>
      </w:r>
      <w:r>
        <w:t xml:space="preserve"> ¶ 21.</w:t>
      </w:r>
      <w:proofErr w:type="gramEnd"/>
      <w:r>
        <w:t xml:space="preserve">  Mr.</w:t>
      </w:r>
      <w:r w:rsidR="00DD7ED0">
        <w:t xml:space="preserve"> X</w:t>
      </w:r>
      <w:r>
        <w:t>’s two friends did not want to call the police because they believed that the</w:t>
      </w:r>
      <w:r w:rsidRPr="00600948">
        <w:t xml:space="preserve"> police would not investigate </w:t>
      </w:r>
      <w:r>
        <w:t xml:space="preserve">an attack in the apartment of three gay men, </w:t>
      </w:r>
      <w:r w:rsidRPr="00600948">
        <w:t xml:space="preserve">and </w:t>
      </w:r>
      <w:r>
        <w:t xml:space="preserve">feared that </w:t>
      </w:r>
      <w:r w:rsidRPr="00600948">
        <w:t>the ordeal with the police would take a bigger psychological to</w:t>
      </w:r>
      <w:r w:rsidR="00B1306A">
        <w:t xml:space="preserve">ll </w:t>
      </w:r>
      <w:r w:rsidRPr="00600948">
        <w:t>tha</w:t>
      </w:r>
      <w:r>
        <w:t xml:space="preserve">n the attack itself.  </w:t>
      </w:r>
      <w:r w:rsidRPr="00E952F2">
        <w:rPr>
          <w:i/>
        </w:rPr>
        <w:t>Id.</w:t>
      </w:r>
    </w:p>
  </w:footnote>
  <w:footnote w:id="15">
    <w:p w14:paraId="3C934389" w14:textId="77777777" w:rsidR="002F176D" w:rsidRDefault="002F176D" w:rsidP="00E952F2">
      <w:pPr>
        <w:pStyle w:val="FootnoteText"/>
      </w:pPr>
      <w:r>
        <w:rPr>
          <w:rStyle w:val="FootnoteReference"/>
        </w:rPr>
        <w:footnoteRef/>
      </w:r>
      <w:r>
        <w:t xml:space="preserve"> </w:t>
      </w:r>
      <w:r>
        <w:tab/>
      </w:r>
      <w:r w:rsidRPr="00776243">
        <w:rPr>
          <w:i/>
        </w:rPr>
        <w:t>Id.</w:t>
      </w:r>
      <w:r>
        <w:t xml:space="preserve"> ¶¶ 22-24.</w:t>
      </w:r>
    </w:p>
  </w:footnote>
  <w:footnote w:id="16">
    <w:p w14:paraId="7892B921" w14:textId="77777777" w:rsidR="002F176D" w:rsidRDefault="002F176D" w:rsidP="00BD57F3">
      <w:pPr>
        <w:pStyle w:val="FootnoteText"/>
      </w:pPr>
      <w:r>
        <w:rPr>
          <w:rStyle w:val="FootnoteReference"/>
        </w:rPr>
        <w:footnoteRef/>
      </w:r>
      <w:r>
        <w:t xml:space="preserve"> </w:t>
      </w:r>
      <w:r>
        <w:tab/>
      </w:r>
      <w:proofErr w:type="gramStart"/>
      <w:r w:rsidRPr="00BD57F3">
        <w:rPr>
          <w:i/>
        </w:rPr>
        <w:t>Id.</w:t>
      </w:r>
      <w:r>
        <w:rPr>
          <w:i/>
        </w:rPr>
        <w:t xml:space="preserve"> </w:t>
      </w:r>
      <w:r>
        <w:t>¶ 26.</w:t>
      </w:r>
      <w:proofErr w:type="gramEnd"/>
    </w:p>
  </w:footnote>
  <w:footnote w:id="17">
    <w:p w14:paraId="2FD52971" w14:textId="77777777" w:rsidR="002F176D" w:rsidRDefault="002F176D">
      <w:pPr>
        <w:pStyle w:val="FootnoteText"/>
      </w:pPr>
      <w:r>
        <w:rPr>
          <w:rStyle w:val="FootnoteReference"/>
        </w:rPr>
        <w:footnoteRef/>
      </w:r>
      <w:r>
        <w:t xml:space="preserve"> </w:t>
      </w:r>
      <w:r>
        <w:tab/>
      </w:r>
      <w:proofErr w:type="gramStart"/>
      <w:r w:rsidRPr="00823092">
        <w:rPr>
          <w:i/>
        </w:rPr>
        <w:t>Id.</w:t>
      </w:r>
      <w:r>
        <w:t xml:space="preserve"> ¶ 25.</w:t>
      </w:r>
      <w:proofErr w:type="gramEnd"/>
    </w:p>
  </w:footnote>
  <w:footnote w:id="18">
    <w:p w14:paraId="1FA390AC" w14:textId="77777777" w:rsidR="002F176D" w:rsidRDefault="002F176D">
      <w:pPr>
        <w:pStyle w:val="FootnoteText"/>
      </w:pPr>
      <w:r>
        <w:rPr>
          <w:rStyle w:val="FootnoteReference"/>
        </w:rPr>
        <w:footnoteRef/>
      </w:r>
      <w:r>
        <w:t xml:space="preserve"> </w:t>
      </w:r>
      <w:r>
        <w:tab/>
      </w:r>
      <w:r w:rsidRPr="00823092">
        <w:rPr>
          <w:i/>
        </w:rPr>
        <w:t>Id.</w:t>
      </w:r>
      <w:r>
        <w:t xml:space="preserve"> ¶¶ 27-32.</w:t>
      </w:r>
    </w:p>
  </w:footnote>
  <w:footnote w:id="19">
    <w:p w14:paraId="60F1C7EF" w14:textId="77777777" w:rsidR="002F176D" w:rsidRDefault="002F176D">
      <w:pPr>
        <w:pStyle w:val="FootnoteText"/>
      </w:pPr>
      <w:r>
        <w:rPr>
          <w:rStyle w:val="FootnoteReference"/>
        </w:rPr>
        <w:footnoteRef/>
      </w:r>
      <w:r>
        <w:t xml:space="preserve"> </w:t>
      </w:r>
      <w:r>
        <w:tab/>
      </w:r>
      <w:proofErr w:type="gramStart"/>
      <w:r w:rsidRPr="00975CCA">
        <w:rPr>
          <w:i/>
        </w:rPr>
        <w:t>Id.</w:t>
      </w:r>
      <w:r>
        <w:t xml:space="preserve"> ¶ 32.</w:t>
      </w:r>
      <w:proofErr w:type="gramEnd"/>
    </w:p>
  </w:footnote>
  <w:footnote w:id="20">
    <w:p w14:paraId="36901788" w14:textId="77777777" w:rsidR="002F176D" w:rsidRPr="00EA0858" w:rsidRDefault="002F176D">
      <w:pPr>
        <w:pStyle w:val="FootnoteText"/>
      </w:pPr>
      <w:r>
        <w:rPr>
          <w:rStyle w:val="FootnoteReference"/>
        </w:rPr>
        <w:footnoteRef/>
      </w:r>
      <w:r>
        <w:t xml:space="preserve"> </w:t>
      </w:r>
      <w:r>
        <w:tab/>
      </w:r>
      <w:proofErr w:type="gramStart"/>
      <w:r w:rsidRPr="00975CCA">
        <w:rPr>
          <w:i/>
        </w:rPr>
        <w:t>Id.</w:t>
      </w:r>
      <w:r>
        <w:t xml:space="preserve"> ¶ 33.</w:t>
      </w:r>
      <w:proofErr w:type="gramEnd"/>
    </w:p>
  </w:footnote>
  <w:footnote w:id="21">
    <w:p w14:paraId="50E391F9" w14:textId="77777777" w:rsidR="002F176D" w:rsidRPr="00EA0858" w:rsidRDefault="002F176D" w:rsidP="00EA0858">
      <w:pPr>
        <w:pStyle w:val="FootnoteText"/>
      </w:pPr>
      <w:r>
        <w:rPr>
          <w:rStyle w:val="FootnoteReference"/>
        </w:rPr>
        <w:footnoteRef/>
      </w:r>
      <w:r>
        <w:t xml:space="preserve"> </w:t>
      </w:r>
      <w:r>
        <w:tab/>
      </w:r>
      <w:proofErr w:type="gramStart"/>
      <w:r w:rsidRPr="00975CCA">
        <w:rPr>
          <w:i/>
        </w:rPr>
        <w:t>Id.</w:t>
      </w:r>
      <w:r>
        <w:t xml:space="preserve"> ¶ 34.</w:t>
      </w:r>
      <w:proofErr w:type="gramEnd"/>
    </w:p>
  </w:footnote>
  <w:footnote w:id="22">
    <w:p w14:paraId="4563E7EE" w14:textId="77777777" w:rsidR="002F176D" w:rsidRDefault="002F176D">
      <w:pPr>
        <w:pStyle w:val="FootnoteText"/>
      </w:pPr>
      <w:r>
        <w:rPr>
          <w:rStyle w:val="FootnoteReference"/>
        </w:rPr>
        <w:footnoteRef/>
      </w:r>
      <w:r>
        <w:t xml:space="preserve"> </w:t>
      </w:r>
      <w:r>
        <w:tab/>
      </w:r>
      <w:r w:rsidRPr="00EA0858">
        <w:rPr>
          <w:i/>
        </w:rPr>
        <w:t>Id.</w:t>
      </w:r>
    </w:p>
  </w:footnote>
  <w:footnote w:id="23">
    <w:p w14:paraId="24C57393" w14:textId="77777777" w:rsidR="002F176D" w:rsidRDefault="002F176D">
      <w:pPr>
        <w:pStyle w:val="FootnoteText"/>
      </w:pPr>
      <w:r>
        <w:rPr>
          <w:rStyle w:val="FootnoteReference"/>
        </w:rPr>
        <w:footnoteRef/>
      </w:r>
      <w:r>
        <w:t xml:space="preserve"> </w:t>
      </w:r>
      <w:r>
        <w:tab/>
      </w:r>
      <w:proofErr w:type="gramStart"/>
      <w:r w:rsidRPr="00EA0858">
        <w:rPr>
          <w:i/>
        </w:rPr>
        <w:t>Id.</w:t>
      </w:r>
      <w:r>
        <w:t xml:space="preserve"> ¶ 35.</w:t>
      </w:r>
      <w:proofErr w:type="gramEnd"/>
    </w:p>
  </w:footnote>
  <w:footnote w:id="24">
    <w:p w14:paraId="45EF8746" w14:textId="77777777" w:rsidR="002F176D" w:rsidRDefault="002F176D" w:rsidP="00EA0858">
      <w:pPr>
        <w:pStyle w:val="FootnoteText"/>
      </w:pPr>
      <w:r>
        <w:rPr>
          <w:rStyle w:val="FootnoteReference"/>
        </w:rPr>
        <w:footnoteRef/>
      </w:r>
      <w:r>
        <w:t xml:space="preserve"> </w:t>
      </w:r>
      <w:r>
        <w:tab/>
      </w:r>
      <w:proofErr w:type="gramStart"/>
      <w:r w:rsidRPr="00EA0858">
        <w:rPr>
          <w:i/>
        </w:rPr>
        <w:t>Id.</w:t>
      </w:r>
      <w:r>
        <w:t xml:space="preserve"> ¶ 36.</w:t>
      </w:r>
      <w:proofErr w:type="gramEnd"/>
    </w:p>
  </w:footnote>
  <w:footnote w:id="25">
    <w:p w14:paraId="11255D1A" w14:textId="77777777" w:rsidR="002F176D" w:rsidRDefault="002F176D" w:rsidP="00EA0858">
      <w:pPr>
        <w:pStyle w:val="FootnoteText"/>
      </w:pPr>
      <w:r>
        <w:rPr>
          <w:rStyle w:val="FootnoteReference"/>
        </w:rPr>
        <w:footnoteRef/>
      </w:r>
      <w:r>
        <w:t xml:space="preserve"> </w:t>
      </w:r>
      <w:r>
        <w:tab/>
      </w:r>
      <w:proofErr w:type="gramStart"/>
      <w:r w:rsidRPr="00EA0858">
        <w:rPr>
          <w:i/>
        </w:rPr>
        <w:t>Id.</w:t>
      </w:r>
      <w:r>
        <w:t xml:space="preserve"> ¶ 37.</w:t>
      </w:r>
      <w:proofErr w:type="gramEnd"/>
    </w:p>
  </w:footnote>
  <w:footnote w:id="26">
    <w:p w14:paraId="61716BA9" w14:textId="77777777" w:rsidR="002F176D" w:rsidRDefault="002F176D">
      <w:pPr>
        <w:pStyle w:val="FootnoteText"/>
      </w:pPr>
      <w:r>
        <w:rPr>
          <w:rStyle w:val="FootnoteReference"/>
        </w:rPr>
        <w:footnoteRef/>
      </w:r>
      <w:r>
        <w:t xml:space="preserve"> </w:t>
      </w:r>
      <w:r>
        <w:tab/>
      </w:r>
      <w:r w:rsidRPr="00071BB2">
        <w:rPr>
          <w:i/>
        </w:rPr>
        <w:t>Id.</w:t>
      </w:r>
      <w:r>
        <w:t xml:space="preserve"> ¶¶ 38-39.</w:t>
      </w:r>
    </w:p>
  </w:footnote>
  <w:footnote w:id="27">
    <w:p w14:paraId="573C1B98" w14:textId="77777777" w:rsidR="002F176D" w:rsidRDefault="002F176D">
      <w:pPr>
        <w:pStyle w:val="FootnoteText"/>
      </w:pPr>
      <w:r>
        <w:rPr>
          <w:rStyle w:val="FootnoteReference"/>
        </w:rPr>
        <w:footnoteRef/>
      </w:r>
      <w:r>
        <w:t xml:space="preserve"> </w:t>
      </w:r>
      <w:r>
        <w:tab/>
      </w:r>
      <w:proofErr w:type="gramStart"/>
      <w:r w:rsidRPr="00034A1E">
        <w:rPr>
          <w:i/>
        </w:rPr>
        <w:t>Id.</w:t>
      </w:r>
      <w:r>
        <w:t xml:space="preserve"> ¶ 42.</w:t>
      </w:r>
      <w:proofErr w:type="gramEnd"/>
    </w:p>
  </w:footnote>
  <w:footnote w:id="28">
    <w:p w14:paraId="37FB70F5" w14:textId="77777777" w:rsidR="002F176D" w:rsidRDefault="002F176D">
      <w:pPr>
        <w:pStyle w:val="FootnoteText"/>
      </w:pPr>
      <w:r>
        <w:rPr>
          <w:rStyle w:val="FootnoteReference"/>
        </w:rPr>
        <w:footnoteRef/>
      </w:r>
      <w:r>
        <w:t xml:space="preserve"> </w:t>
      </w:r>
      <w:r>
        <w:tab/>
      </w:r>
      <w:proofErr w:type="gramStart"/>
      <w:r w:rsidRPr="00034A1E">
        <w:rPr>
          <w:i/>
        </w:rPr>
        <w:t>Id.</w:t>
      </w:r>
      <w:r>
        <w:rPr>
          <w:i/>
        </w:rPr>
        <w:t xml:space="preserve"> </w:t>
      </w:r>
      <w:r>
        <w:t>¶ 43.</w:t>
      </w:r>
      <w:proofErr w:type="gramEnd"/>
    </w:p>
  </w:footnote>
  <w:footnote w:id="29">
    <w:p w14:paraId="44293F92" w14:textId="77777777" w:rsidR="002F176D" w:rsidRDefault="002F176D" w:rsidP="00051F50">
      <w:pPr>
        <w:pStyle w:val="FootnoteText"/>
      </w:pPr>
      <w:r>
        <w:rPr>
          <w:rStyle w:val="FootnoteReference"/>
        </w:rPr>
        <w:footnoteRef/>
      </w:r>
      <w:r>
        <w:t xml:space="preserve"> </w:t>
      </w:r>
      <w:r>
        <w:tab/>
      </w:r>
      <w:proofErr w:type="gramStart"/>
      <w:r w:rsidRPr="00034A1E">
        <w:rPr>
          <w:i/>
        </w:rPr>
        <w:t>Id.</w:t>
      </w:r>
      <w:r>
        <w:t xml:space="preserve"> ¶ 44.</w:t>
      </w:r>
      <w:proofErr w:type="gramEnd"/>
    </w:p>
  </w:footnote>
  <w:footnote w:id="30">
    <w:p w14:paraId="7D789256" w14:textId="77777777" w:rsidR="002F176D" w:rsidRDefault="002F176D" w:rsidP="00051F50">
      <w:pPr>
        <w:pStyle w:val="FootnoteText"/>
      </w:pPr>
      <w:r>
        <w:rPr>
          <w:rStyle w:val="FootnoteReference"/>
        </w:rPr>
        <w:footnoteRef/>
      </w:r>
      <w:r>
        <w:t xml:space="preserve"> </w:t>
      </w:r>
      <w:r>
        <w:tab/>
      </w:r>
      <w:proofErr w:type="gramStart"/>
      <w:r w:rsidRPr="00034A1E">
        <w:rPr>
          <w:i/>
        </w:rPr>
        <w:t>Id.</w:t>
      </w:r>
      <w:r>
        <w:rPr>
          <w:i/>
        </w:rPr>
        <w:t xml:space="preserve"> </w:t>
      </w:r>
      <w:r>
        <w:t>¶ 45.</w:t>
      </w:r>
      <w:proofErr w:type="gramEnd"/>
    </w:p>
  </w:footnote>
  <w:footnote w:id="31">
    <w:p w14:paraId="1592E654" w14:textId="77777777" w:rsidR="002F176D" w:rsidRDefault="002F176D">
      <w:pPr>
        <w:pStyle w:val="FootnoteText"/>
      </w:pPr>
      <w:r>
        <w:rPr>
          <w:rStyle w:val="FootnoteReference"/>
        </w:rPr>
        <w:footnoteRef/>
      </w:r>
      <w:r>
        <w:t xml:space="preserve"> </w:t>
      </w:r>
      <w:r>
        <w:tab/>
      </w:r>
      <w:proofErr w:type="gramStart"/>
      <w:r>
        <w:t>Id. ¶ 46.</w:t>
      </w:r>
      <w:proofErr w:type="gramEnd"/>
    </w:p>
  </w:footnote>
  <w:footnote w:id="32">
    <w:p w14:paraId="3F9AEC5F" w14:textId="77777777" w:rsidR="002F176D" w:rsidRDefault="002F176D" w:rsidP="00051F50">
      <w:pPr>
        <w:pStyle w:val="FootnoteText"/>
      </w:pPr>
      <w:r>
        <w:rPr>
          <w:rStyle w:val="FootnoteReference"/>
        </w:rPr>
        <w:footnoteRef/>
      </w:r>
      <w:r>
        <w:t xml:space="preserve"> </w:t>
      </w:r>
      <w:r>
        <w:tab/>
      </w:r>
      <w:proofErr w:type="gramStart"/>
      <w:r w:rsidRPr="00034A1E">
        <w:rPr>
          <w:i/>
        </w:rPr>
        <w:t>Id.</w:t>
      </w:r>
      <w:r>
        <w:rPr>
          <w:i/>
        </w:rPr>
        <w:t xml:space="preserve"> </w:t>
      </w:r>
      <w:r>
        <w:t>¶ 40.</w:t>
      </w:r>
      <w:proofErr w:type="gramEnd"/>
    </w:p>
  </w:footnote>
  <w:footnote w:id="33">
    <w:p w14:paraId="356AD9C5" w14:textId="77777777" w:rsidR="002F176D" w:rsidRDefault="002F176D">
      <w:pPr>
        <w:pStyle w:val="FootnoteText"/>
      </w:pPr>
      <w:r>
        <w:rPr>
          <w:rStyle w:val="FootnoteReference"/>
        </w:rPr>
        <w:footnoteRef/>
      </w:r>
      <w:r>
        <w:t xml:space="preserve"> </w:t>
      </w:r>
      <w:r>
        <w:tab/>
      </w:r>
      <w:proofErr w:type="gramStart"/>
      <w:r w:rsidRPr="0064479D">
        <w:rPr>
          <w:i/>
        </w:rPr>
        <w:t>Id.</w:t>
      </w:r>
      <w:r>
        <w:t xml:space="preserve"> ¶ 47.</w:t>
      </w:r>
      <w:proofErr w:type="gramEnd"/>
      <w:r>
        <w:t xml:space="preserve">  In 2016, Belarus passed a similar law, modeled largely on the Russian gay propaganda law.</w:t>
      </w:r>
    </w:p>
  </w:footnote>
  <w:footnote w:id="34">
    <w:p w14:paraId="5F312B90" w14:textId="77777777" w:rsidR="002F176D" w:rsidRDefault="002F176D" w:rsidP="0064479D">
      <w:pPr>
        <w:pStyle w:val="FootnoteText"/>
      </w:pPr>
      <w:r>
        <w:rPr>
          <w:rStyle w:val="FootnoteReference"/>
        </w:rPr>
        <w:footnoteRef/>
      </w:r>
      <w:r>
        <w:t xml:space="preserve"> </w:t>
      </w:r>
      <w:r>
        <w:tab/>
      </w:r>
      <w:r w:rsidRPr="0064479D">
        <w:rPr>
          <w:i/>
        </w:rPr>
        <w:t>Id.</w:t>
      </w:r>
    </w:p>
  </w:footnote>
  <w:footnote w:id="35">
    <w:p w14:paraId="7C611AB6" w14:textId="77777777" w:rsidR="002F176D" w:rsidRDefault="002F176D">
      <w:pPr>
        <w:pStyle w:val="FootnoteText"/>
      </w:pPr>
      <w:r>
        <w:rPr>
          <w:rStyle w:val="FootnoteReference"/>
        </w:rPr>
        <w:footnoteRef/>
      </w:r>
      <w:r>
        <w:t xml:space="preserve"> </w:t>
      </w:r>
      <w:r>
        <w:tab/>
      </w:r>
      <w:r w:rsidRPr="0064479D">
        <w:rPr>
          <w:i/>
        </w:rPr>
        <w:t>Id.</w:t>
      </w:r>
    </w:p>
  </w:footnote>
  <w:footnote w:id="36">
    <w:p w14:paraId="344AAB6F" w14:textId="77777777" w:rsidR="002F176D" w:rsidRDefault="002F176D">
      <w:pPr>
        <w:pStyle w:val="FootnoteText"/>
      </w:pPr>
      <w:r>
        <w:rPr>
          <w:rStyle w:val="FootnoteReference"/>
        </w:rPr>
        <w:footnoteRef/>
      </w:r>
      <w:r>
        <w:t xml:space="preserve"> </w:t>
      </w:r>
      <w:r>
        <w:tab/>
      </w:r>
      <w:r w:rsidRPr="0064479D">
        <w:rPr>
          <w:i/>
        </w:rPr>
        <w:t>Id.</w:t>
      </w:r>
      <w:r>
        <w:t xml:space="preserve"> ¶¶ 48-50.</w:t>
      </w:r>
    </w:p>
  </w:footnote>
  <w:footnote w:id="37">
    <w:p w14:paraId="2F9F89C8" w14:textId="77777777" w:rsidR="002F176D" w:rsidRDefault="002F176D">
      <w:pPr>
        <w:pStyle w:val="FootnoteText"/>
      </w:pPr>
      <w:r>
        <w:rPr>
          <w:rStyle w:val="FootnoteReference"/>
        </w:rPr>
        <w:footnoteRef/>
      </w:r>
      <w:r>
        <w:t xml:space="preserve"> </w:t>
      </w:r>
      <w:r>
        <w:tab/>
      </w:r>
      <w:proofErr w:type="gramStart"/>
      <w:r w:rsidRPr="0064479D">
        <w:rPr>
          <w:i/>
        </w:rPr>
        <w:t>Id.</w:t>
      </w:r>
      <w:r>
        <w:t xml:space="preserve"> ¶ 50.</w:t>
      </w:r>
      <w:proofErr w:type="gramEnd"/>
    </w:p>
  </w:footnote>
  <w:footnote w:id="38">
    <w:p w14:paraId="167589F0" w14:textId="77777777" w:rsidR="002F176D" w:rsidRDefault="002F176D">
      <w:pPr>
        <w:pStyle w:val="FootnoteText"/>
      </w:pPr>
      <w:r>
        <w:rPr>
          <w:rStyle w:val="FootnoteReference"/>
        </w:rPr>
        <w:footnoteRef/>
      </w:r>
      <w:r>
        <w:t xml:space="preserve"> </w:t>
      </w:r>
      <w:r>
        <w:tab/>
      </w:r>
      <w:r w:rsidRPr="0064479D">
        <w:rPr>
          <w:i/>
        </w:rPr>
        <w:t>Id.</w:t>
      </w:r>
      <w:r>
        <w:t xml:space="preserve"> ¶¶ 49-51.</w:t>
      </w:r>
    </w:p>
  </w:footnote>
  <w:footnote w:id="39">
    <w:p w14:paraId="36396C38" w14:textId="77777777" w:rsidR="002F176D" w:rsidRDefault="002F176D">
      <w:pPr>
        <w:pStyle w:val="FootnoteText"/>
      </w:pPr>
      <w:r>
        <w:rPr>
          <w:rStyle w:val="FootnoteReference"/>
        </w:rPr>
        <w:footnoteRef/>
      </w:r>
      <w:r>
        <w:t xml:space="preserve"> </w:t>
      </w:r>
      <w:r>
        <w:tab/>
      </w:r>
      <w:r w:rsidRPr="00400390">
        <w:rPr>
          <w:i/>
        </w:rPr>
        <w:t>Id.</w:t>
      </w:r>
      <w:r>
        <w:t xml:space="preserve"> ¶¶ 52-54.</w:t>
      </w:r>
    </w:p>
  </w:footnote>
  <w:footnote w:id="40">
    <w:p w14:paraId="53F96461" w14:textId="77777777" w:rsidR="002F176D" w:rsidRDefault="002F176D" w:rsidP="00400390">
      <w:pPr>
        <w:pStyle w:val="FootnoteText"/>
      </w:pPr>
      <w:r>
        <w:rPr>
          <w:rStyle w:val="FootnoteReference"/>
        </w:rPr>
        <w:footnoteRef/>
      </w:r>
      <w:r>
        <w:t xml:space="preserve"> </w:t>
      </w:r>
      <w:r>
        <w:tab/>
      </w:r>
      <w:proofErr w:type="gramStart"/>
      <w:r w:rsidRPr="00400390">
        <w:rPr>
          <w:i/>
        </w:rPr>
        <w:t>Id.</w:t>
      </w:r>
      <w:r>
        <w:rPr>
          <w:i/>
        </w:rPr>
        <w:t xml:space="preserve"> </w:t>
      </w:r>
      <w:r>
        <w:t>¶ 55.</w:t>
      </w:r>
      <w:proofErr w:type="gramEnd"/>
    </w:p>
  </w:footnote>
  <w:footnote w:id="41">
    <w:p w14:paraId="218CB462" w14:textId="77777777" w:rsidR="002F176D" w:rsidRDefault="002F176D">
      <w:pPr>
        <w:pStyle w:val="FootnoteText"/>
      </w:pPr>
      <w:r>
        <w:rPr>
          <w:rStyle w:val="FootnoteReference"/>
        </w:rPr>
        <w:footnoteRef/>
      </w:r>
      <w:r>
        <w:t xml:space="preserve"> </w:t>
      </w:r>
      <w:r>
        <w:tab/>
      </w:r>
      <w:r w:rsidRPr="00400390">
        <w:rPr>
          <w:i/>
        </w:rPr>
        <w:t>Id.</w:t>
      </w:r>
      <w:r>
        <w:t xml:space="preserve"> ¶¶ 56-57.</w:t>
      </w:r>
    </w:p>
  </w:footnote>
  <w:footnote w:id="42">
    <w:p w14:paraId="2DF0D098" w14:textId="77777777" w:rsidR="002F176D" w:rsidRDefault="002F176D">
      <w:pPr>
        <w:pStyle w:val="FootnoteText"/>
      </w:pPr>
      <w:r>
        <w:rPr>
          <w:rStyle w:val="FootnoteReference"/>
        </w:rPr>
        <w:footnoteRef/>
      </w:r>
      <w:r>
        <w:t xml:space="preserve"> </w:t>
      </w:r>
      <w:r>
        <w:tab/>
      </w:r>
      <w:proofErr w:type="gramStart"/>
      <w:r w:rsidRPr="00D23D80">
        <w:rPr>
          <w:i/>
        </w:rPr>
        <w:t>Id.</w:t>
      </w:r>
      <w:r>
        <w:t xml:space="preserve"> ¶ 56 &amp; </w:t>
      </w:r>
      <w:proofErr w:type="spellStart"/>
      <w:r>
        <w:t>Exh</w:t>
      </w:r>
      <w:proofErr w:type="spellEnd"/>
      <w:r>
        <w:t>.</w:t>
      </w:r>
      <w:proofErr w:type="gramEnd"/>
      <w:r>
        <w:t xml:space="preserve"> </w:t>
      </w:r>
      <w:proofErr w:type="gramStart"/>
      <w:r>
        <w:t>19 and 20.</w:t>
      </w:r>
      <w:proofErr w:type="gramEnd"/>
      <w:r>
        <w:t xml:space="preserve"> </w:t>
      </w:r>
    </w:p>
  </w:footnote>
  <w:footnote w:id="43">
    <w:p w14:paraId="0A7F2B84" w14:textId="77777777" w:rsidR="002F176D" w:rsidRDefault="002F176D" w:rsidP="00D23D80">
      <w:pPr>
        <w:pStyle w:val="FootnoteText"/>
      </w:pPr>
      <w:r>
        <w:rPr>
          <w:rStyle w:val="FootnoteReference"/>
        </w:rPr>
        <w:footnoteRef/>
      </w:r>
      <w:r>
        <w:t xml:space="preserve"> </w:t>
      </w:r>
      <w:r>
        <w:tab/>
      </w:r>
      <w:proofErr w:type="gramStart"/>
      <w:r w:rsidRPr="00400390">
        <w:rPr>
          <w:i/>
        </w:rPr>
        <w:t>Id.</w:t>
      </w:r>
      <w:r>
        <w:t xml:space="preserve"> ¶ 57.</w:t>
      </w:r>
      <w:proofErr w:type="gramEnd"/>
    </w:p>
  </w:footnote>
  <w:footnote w:id="44">
    <w:p w14:paraId="4BB527B1" w14:textId="77777777" w:rsidR="002F176D" w:rsidRDefault="002F176D">
      <w:pPr>
        <w:pStyle w:val="FootnoteText"/>
      </w:pPr>
      <w:r>
        <w:rPr>
          <w:rStyle w:val="FootnoteReference"/>
        </w:rPr>
        <w:footnoteRef/>
      </w:r>
      <w:r>
        <w:t xml:space="preserve"> </w:t>
      </w:r>
      <w:r>
        <w:tab/>
      </w:r>
      <w:proofErr w:type="gramStart"/>
      <w:r w:rsidRPr="00D23D80">
        <w:rPr>
          <w:i/>
        </w:rPr>
        <w:t>Id.</w:t>
      </w:r>
      <w:r>
        <w:t xml:space="preserve"> ¶ 58 &amp; </w:t>
      </w:r>
      <w:proofErr w:type="spellStart"/>
      <w:r>
        <w:t>Exh</w:t>
      </w:r>
      <w:proofErr w:type="spellEnd"/>
      <w:r>
        <w:t>.</w:t>
      </w:r>
      <w:proofErr w:type="gramEnd"/>
      <w:r>
        <w:t xml:space="preserve"> 21.</w:t>
      </w:r>
    </w:p>
  </w:footnote>
  <w:footnote w:id="45">
    <w:p w14:paraId="7FC088BD" w14:textId="77777777" w:rsidR="002F176D" w:rsidRDefault="002F176D">
      <w:pPr>
        <w:pStyle w:val="FootnoteText"/>
      </w:pPr>
      <w:r>
        <w:rPr>
          <w:rStyle w:val="FootnoteReference"/>
        </w:rPr>
        <w:footnoteRef/>
      </w:r>
      <w:r>
        <w:t xml:space="preserve"> </w:t>
      </w:r>
      <w:r>
        <w:tab/>
      </w:r>
      <w:r w:rsidRPr="00D23D80">
        <w:rPr>
          <w:i/>
        </w:rPr>
        <w:t>Id.</w:t>
      </w:r>
    </w:p>
  </w:footnote>
  <w:footnote w:id="46">
    <w:p w14:paraId="184AB9E4" w14:textId="77777777" w:rsidR="002F176D" w:rsidRPr="00AB1B04" w:rsidRDefault="002F176D" w:rsidP="00AB1B04">
      <w:pPr>
        <w:pStyle w:val="FootnoteText"/>
      </w:pPr>
      <w:r>
        <w:rPr>
          <w:rStyle w:val="FootnoteReference"/>
        </w:rPr>
        <w:footnoteRef/>
      </w:r>
      <w:r>
        <w:t xml:space="preserve"> </w:t>
      </w:r>
      <w:r>
        <w:tab/>
      </w:r>
      <w:proofErr w:type="gramStart"/>
      <w:r w:rsidRPr="00D23D80">
        <w:rPr>
          <w:i/>
        </w:rPr>
        <w:t>Id.</w:t>
      </w:r>
      <w:r>
        <w:t xml:space="preserve"> ¶ 59.</w:t>
      </w:r>
      <w:proofErr w:type="gramEnd"/>
    </w:p>
  </w:footnote>
  <w:footnote w:id="47">
    <w:p w14:paraId="05CA23CB" w14:textId="77777777" w:rsidR="002F176D" w:rsidRPr="00AB1B04" w:rsidRDefault="002F176D" w:rsidP="00AB1B04">
      <w:pPr>
        <w:pStyle w:val="FootnoteText"/>
      </w:pPr>
      <w:r>
        <w:rPr>
          <w:rStyle w:val="FootnoteReference"/>
        </w:rPr>
        <w:footnoteRef/>
      </w:r>
      <w:r>
        <w:t xml:space="preserve"> </w:t>
      </w:r>
      <w:r>
        <w:tab/>
      </w:r>
      <w:proofErr w:type="gramStart"/>
      <w:r w:rsidRPr="00D23D80">
        <w:rPr>
          <w:i/>
        </w:rPr>
        <w:t>Id.</w:t>
      </w:r>
      <w:r>
        <w:t xml:space="preserve"> ¶ 60 &amp; </w:t>
      </w:r>
      <w:proofErr w:type="spellStart"/>
      <w:r>
        <w:t>Exh</w:t>
      </w:r>
      <w:proofErr w:type="spellEnd"/>
      <w:r>
        <w:t>.</w:t>
      </w:r>
      <w:proofErr w:type="gramEnd"/>
      <w:r>
        <w:t xml:space="preserve"> 21.</w:t>
      </w:r>
    </w:p>
  </w:footnote>
  <w:footnote w:id="48">
    <w:p w14:paraId="36CBCC8F" w14:textId="77777777" w:rsidR="002F176D" w:rsidRPr="00AB1B04" w:rsidRDefault="002F176D" w:rsidP="00AB1B04">
      <w:pPr>
        <w:pStyle w:val="FootnoteText"/>
      </w:pPr>
      <w:r>
        <w:rPr>
          <w:rStyle w:val="FootnoteReference"/>
        </w:rPr>
        <w:footnoteRef/>
      </w:r>
      <w:r>
        <w:t xml:space="preserve"> </w:t>
      </w:r>
      <w:r>
        <w:tab/>
      </w:r>
      <w:proofErr w:type="gramStart"/>
      <w:r w:rsidRPr="00D23D80">
        <w:rPr>
          <w:i/>
        </w:rPr>
        <w:t>Id.</w:t>
      </w:r>
      <w:r>
        <w:t xml:space="preserve"> ¶ 61 &amp; </w:t>
      </w:r>
      <w:proofErr w:type="spellStart"/>
      <w:r>
        <w:t>Exh</w:t>
      </w:r>
      <w:proofErr w:type="spellEnd"/>
      <w:r>
        <w:t>.</w:t>
      </w:r>
      <w:proofErr w:type="gramEnd"/>
      <w:r>
        <w:t xml:space="preserve"> 23; </w:t>
      </w:r>
      <w:r w:rsidRPr="00AB1B04">
        <w:rPr>
          <w:i/>
        </w:rPr>
        <w:t>see also id.</w:t>
      </w:r>
      <w:r>
        <w:t xml:space="preserve"> </w:t>
      </w:r>
      <w:proofErr w:type="gramStart"/>
      <w:r>
        <w:t xml:space="preserve">¶ 63 &amp; </w:t>
      </w:r>
      <w:proofErr w:type="spellStart"/>
      <w:r>
        <w:t>Exh</w:t>
      </w:r>
      <w:proofErr w:type="spellEnd"/>
      <w:r>
        <w:t>.</w:t>
      </w:r>
      <w:proofErr w:type="gramEnd"/>
      <w:r>
        <w:t xml:space="preserve"> 24.</w:t>
      </w:r>
    </w:p>
  </w:footnote>
  <w:footnote w:id="49">
    <w:p w14:paraId="43734B10" w14:textId="77777777" w:rsidR="002F176D" w:rsidRDefault="002F176D">
      <w:pPr>
        <w:pStyle w:val="FootnoteText"/>
      </w:pPr>
      <w:r>
        <w:rPr>
          <w:rStyle w:val="FootnoteReference"/>
        </w:rPr>
        <w:footnoteRef/>
      </w:r>
      <w:r>
        <w:t xml:space="preserve"> </w:t>
      </w:r>
      <w:r>
        <w:tab/>
      </w:r>
      <w:proofErr w:type="gramStart"/>
      <w:r w:rsidRPr="008F68F4">
        <w:rPr>
          <w:i/>
        </w:rPr>
        <w:t>Id.</w:t>
      </w:r>
      <w:r>
        <w:rPr>
          <w:i/>
        </w:rPr>
        <w:t xml:space="preserve"> </w:t>
      </w:r>
      <w:r>
        <w:t>¶ 62.</w:t>
      </w:r>
      <w:proofErr w:type="gramEnd"/>
    </w:p>
  </w:footnote>
  <w:footnote w:id="50">
    <w:p w14:paraId="391378BC" w14:textId="77777777" w:rsidR="002F176D" w:rsidRDefault="002F176D" w:rsidP="008F68F4">
      <w:pPr>
        <w:pStyle w:val="FootnoteText"/>
      </w:pPr>
      <w:r>
        <w:rPr>
          <w:rStyle w:val="FootnoteReference"/>
        </w:rPr>
        <w:footnoteRef/>
      </w:r>
      <w:r>
        <w:t xml:space="preserve"> </w:t>
      </w:r>
      <w:r>
        <w:tab/>
      </w:r>
      <w:proofErr w:type="gramStart"/>
      <w:r w:rsidRPr="008F68F4">
        <w:rPr>
          <w:i/>
        </w:rPr>
        <w:t>Id.</w:t>
      </w:r>
      <w:r>
        <w:t xml:space="preserve"> ¶ 64.</w:t>
      </w:r>
      <w:proofErr w:type="gramEnd"/>
    </w:p>
  </w:footnote>
  <w:footnote w:id="51">
    <w:p w14:paraId="3B0B888F" w14:textId="77777777" w:rsidR="002F176D" w:rsidRDefault="002F176D" w:rsidP="008F68F4">
      <w:pPr>
        <w:pStyle w:val="FootnoteText"/>
      </w:pPr>
      <w:r>
        <w:rPr>
          <w:rStyle w:val="FootnoteReference"/>
        </w:rPr>
        <w:footnoteRef/>
      </w:r>
      <w:r>
        <w:t xml:space="preserve"> </w:t>
      </w:r>
      <w:r>
        <w:tab/>
      </w:r>
      <w:proofErr w:type="gramStart"/>
      <w:r w:rsidRPr="008F68F4">
        <w:rPr>
          <w:i/>
        </w:rPr>
        <w:t>Id.</w:t>
      </w:r>
      <w:r>
        <w:t xml:space="preserve"> ¶ 65 &amp; </w:t>
      </w:r>
      <w:proofErr w:type="spellStart"/>
      <w:r>
        <w:t>Exh</w:t>
      </w:r>
      <w:proofErr w:type="spellEnd"/>
      <w:r>
        <w:t>.</w:t>
      </w:r>
      <w:proofErr w:type="gramEnd"/>
      <w:r>
        <w:t xml:space="preserve"> 26.</w:t>
      </w:r>
    </w:p>
  </w:footnote>
  <w:footnote w:id="52">
    <w:p w14:paraId="44829BA2" w14:textId="77777777" w:rsidR="002F176D" w:rsidRPr="00676440" w:rsidRDefault="002F176D" w:rsidP="00082F74">
      <w:pPr>
        <w:pStyle w:val="FootnoteText"/>
      </w:pPr>
      <w:r>
        <w:rPr>
          <w:rStyle w:val="FootnoteReference"/>
        </w:rPr>
        <w:footnoteRef/>
      </w:r>
      <w:r>
        <w:t xml:space="preserve"> </w:t>
      </w:r>
      <w:r>
        <w:tab/>
      </w:r>
      <w:proofErr w:type="gramStart"/>
      <w:r w:rsidRPr="00082F74">
        <w:rPr>
          <w:i/>
        </w:rPr>
        <w:t>Id.</w:t>
      </w:r>
      <w:r>
        <w:t xml:space="preserve"> ¶ 65.</w:t>
      </w:r>
      <w:proofErr w:type="gramEnd"/>
    </w:p>
  </w:footnote>
  <w:footnote w:id="53">
    <w:p w14:paraId="61996CD7" w14:textId="77777777" w:rsidR="002F176D" w:rsidRDefault="002F176D" w:rsidP="00833A16">
      <w:pPr>
        <w:pStyle w:val="FootnoteText"/>
      </w:pPr>
      <w:r>
        <w:rPr>
          <w:rStyle w:val="FootnoteReference"/>
        </w:rPr>
        <w:footnoteRef/>
      </w:r>
      <w:r>
        <w:t xml:space="preserve"> </w:t>
      </w:r>
      <w:r>
        <w:tab/>
      </w:r>
      <w:proofErr w:type="gramStart"/>
      <w:r w:rsidRPr="00082F74">
        <w:rPr>
          <w:i/>
        </w:rPr>
        <w:t>Id.</w:t>
      </w:r>
      <w:r>
        <w:rPr>
          <w:i/>
        </w:rPr>
        <w:t xml:space="preserve"> </w:t>
      </w:r>
      <w:r>
        <w:t>¶ 66.</w:t>
      </w:r>
      <w:proofErr w:type="gramEnd"/>
    </w:p>
  </w:footnote>
  <w:footnote w:id="54">
    <w:p w14:paraId="55F16FE3" w14:textId="77777777" w:rsidR="002F176D" w:rsidRDefault="002F176D" w:rsidP="00833A16">
      <w:pPr>
        <w:pStyle w:val="FootnoteText"/>
      </w:pPr>
      <w:r>
        <w:rPr>
          <w:rStyle w:val="FootnoteReference"/>
        </w:rPr>
        <w:footnoteRef/>
      </w:r>
      <w:r>
        <w:t xml:space="preserve"> </w:t>
      </w:r>
      <w:r>
        <w:tab/>
      </w:r>
      <w:proofErr w:type="gramStart"/>
      <w:r>
        <w:rPr>
          <w:i/>
        </w:rPr>
        <w:t>Id.</w:t>
      </w:r>
      <w:r>
        <w:t xml:space="preserve"> ¶ 67 &amp; </w:t>
      </w:r>
      <w:proofErr w:type="spellStart"/>
      <w:r>
        <w:t>Exh</w:t>
      </w:r>
      <w:proofErr w:type="spellEnd"/>
      <w:r>
        <w:t>.</w:t>
      </w:r>
      <w:proofErr w:type="gramEnd"/>
      <w:r>
        <w:t xml:space="preserve"> 26.</w:t>
      </w:r>
    </w:p>
  </w:footnote>
  <w:footnote w:id="55">
    <w:p w14:paraId="2A5E3401" w14:textId="77777777" w:rsidR="002F176D" w:rsidRDefault="002F176D" w:rsidP="00833A16">
      <w:pPr>
        <w:pStyle w:val="FootnoteText"/>
      </w:pPr>
      <w:r>
        <w:rPr>
          <w:rStyle w:val="FootnoteReference"/>
        </w:rPr>
        <w:footnoteRef/>
      </w:r>
      <w:r>
        <w:t xml:space="preserve"> </w:t>
      </w:r>
      <w:r>
        <w:tab/>
      </w:r>
      <w:proofErr w:type="gramStart"/>
      <w:r>
        <w:rPr>
          <w:i/>
        </w:rPr>
        <w:t>Id.</w:t>
      </w:r>
      <w:r>
        <w:t xml:space="preserve"> ¶ 68 &amp; </w:t>
      </w:r>
      <w:proofErr w:type="spellStart"/>
      <w:r>
        <w:t>Exh</w:t>
      </w:r>
      <w:proofErr w:type="spellEnd"/>
      <w:r>
        <w:t>.</w:t>
      </w:r>
      <w:proofErr w:type="gramEnd"/>
      <w:r>
        <w:t xml:space="preserve"> 26.</w:t>
      </w:r>
    </w:p>
  </w:footnote>
  <w:footnote w:id="56">
    <w:p w14:paraId="7AFDCA59" w14:textId="77777777" w:rsidR="002F176D" w:rsidRDefault="002F176D">
      <w:pPr>
        <w:pStyle w:val="FootnoteText"/>
      </w:pPr>
      <w:r>
        <w:rPr>
          <w:rStyle w:val="FootnoteReference"/>
        </w:rPr>
        <w:footnoteRef/>
      </w:r>
      <w:r>
        <w:t xml:space="preserve"> </w:t>
      </w:r>
      <w:r>
        <w:tab/>
      </w:r>
      <w:proofErr w:type="gramStart"/>
      <w:r w:rsidRPr="00676440">
        <w:rPr>
          <w:i/>
        </w:rPr>
        <w:t>Id.</w:t>
      </w:r>
      <w:r>
        <w:t xml:space="preserve"> ¶ 70.</w:t>
      </w:r>
      <w:proofErr w:type="gramEnd"/>
    </w:p>
  </w:footnote>
  <w:footnote w:id="57">
    <w:p w14:paraId="7548BD2D" w14:textId="77777777" w:rsidR="002F176D" w:rsidRDefault="002F176D" w:rsidP="00C174C2">
      <w:pPr>
        <w:pStyle w:val="FootnoteText"/>
      </w:pPr>
      <w:r>
        <w:rPr>
          <w:rStyle w:val="FootnoteReference"/>
        </w:rPr>
        <w:footnoteRef/>
      </w:r>
      <w:r>
        <w:t xml:space="preserve"> </w:t>
      </w:r>
      <w:r>
        <w:tab/>
      </w:r>
      <w:proofErr w:type="gramStart"/>
      <w:r w:rsidRPr="00C174C2">
        <w:rPr>
          <w:i/>
        </w:rPr>
        <w:t>Id.</w:t>
      </w:r>
      <w:r>
        <w:t xml:space="preserve"> ¶ 71 &amp; </w:t>
      </w:r>
      <w:proofErr w:type="spellStart"/>
      <w:r>
        <w:t>Exh</w:t>
      </w:r>
      <w:proofErr w:type="spellEnd"/>
      <w:r>
        <w:t>.</w:t>
      </w:r>
      <w:proofErr w:type="gramEnd"/>
      <w:r>
        <w:t xml:space="preserve"> 29.</w:t>
      </w:r>
    </w:p>
  </w:footnote>
  <w:footnote w:id="58">
    <w:p w14:paraId="028E6981" w14:textId="77777777" w:rsidR="002F176D" w:rsidRDefault="002F176D">
      <w:pPr>
        <w:pStyle w:val="FootnoteText"/>
      </w:pPr>
      <w:r>
        <w:rPr>
          <w:rStyle w:val="FootnoteReference"/>
        </w:rPr>
        <w:footnoteRef/>
      </w:r>
      <w:r>
        <w:t xml:space="preserve"> </w:t>
      </w:r>
      <w:r>
        <w:tab/>
      </w:r>
      <w:proofErr w:type="gramStart"/>
      <w:r w:rsidRPr="00C174C2">
        <w:rPr>
          <w:i/>
        </w:rPr>
        <w:t>Id.</w:t>
      </w:r>
      <w:r>
        <w:t xml:space="preserve"> ¶ 72.</w:t>
      </w:r>
      <w:proofErr w:type="gramEnd"/>
    </w:p>
  </w:footnote>
  <w:footnote w:id="59">
    <w:p w14:paraId="2C721A9C" w14:textId="77777777" w:rsidR="002F176D" w:rsidRDefault="002F176D">
      <w:pPr>
        <w:pStyle w:val="FootnoteText"/>
      </w:pPr>
      <w:r>
        <w:rPr>
          <w:rStyle w:val="FootnoteReference"/>
        </w:rPr>
        <w:footnoteRef/>
      </w:r>
      <w:r>
        <w:t xml:space="preserve"> </w:t>
      </w:r>
      <w:r>
        <w:tab/>
        <w:t>8 U.S.C. § 1101(a</w:t>
      </w:r>
      <w:proofErr w:type="gramStart"/>
      <w:r>
        <w:t>)(</w:t>
      </w:r>
      <w:proofErr w:type="gramEnd"/>
      <w:r>
        <w:t>42)(A).</w:t>
      </w:r>
    </w:p>
  </w:footnote>
  <w:footnote w:id="60">
    <w:p w14:paraId="3073949D" w14:textId="77777777" w:rsidR="002F176D" w:rsidRDefault="002F176D" w:rsidP="00FE4E25">
      <w:pPr>
        <w:pStyle w:val="FootnoteText"/>
      </w:pPr>
      <w:r>
        <w:rPr>
          <w:rStyle w:val="FootnoteReference"/>
        </w:rPr>
        <w:footnoteRef/>
      </w:r>
      <w:r>
        <w:t xml:space="preserve"> </w:t>
      </w:r>
      <w:r>
        <w:tab/>
      </w:r>
      <w:r w:rsidRPr="00703A7C">
        <w:t>Human Rights Watch, No Support: Russia’s “Gay Propaganda” Law Imperils LGBT Youth (D</w:t>
      </w:r>
      <w:r w:rsidRPr="00703A7C">
        <w:t>e</w:t>
      </w:r>
      <w:r w:rsidRPr="00703A7C">
        <w:t>cember 12, 2018)</w:t>
      </w:r>
      <w:r>
        <w:t>, at 16</w:t>
      </w:r>
      <w:r w:rsidRPr="00703A7C">
        <w:t>,</w:t>
      </w:r>
      <w:r>
        <w:t xml:space="preserve"> available at </w:t>
      </w:r>
      <w:r w:rsidRPr="00474CE0">
        <w:t>https://www.hrw.org/report/2018/12/11/no-support/russias-gay-propaganda-law-imperils-lgbt-youth#</w:t>
      </w:r>
      <w:r>
        <w:t xml:space="preserve"> (Country Cond. </w:t>
      </w:r>
      <w:proofErr w:type="spellStart"/>
      <w:r>
        <w:t>Exh</w:t>
      </w:r>
      <w:proofErr w:type="spellEnd"/>
      <w:r>
        <w:t xml:space="preserve">. 4); </w:t>
      </w:r>
      <w:r w:rsidRPr="00A355CA">
        <w:rPr>
          <w:i/>
        </w:rPr>
        <w:t>see also id.</w:t>
      </w:r>
      <w:r>
        <w:t xml:space="preserve"> at 1-2 (“</w:t>
      </w:r>
      <w:r>
        <w:rPr>
          <w:lang w:val="en"/>
        </w:rPr>
        <w:t>Given the already deeply hostile climate for LGBT people in Russia when the law was passed, it is not su</w:t>
      </w:r>
      <w:r>
        <w:rPr>
          <w:lang w:val="en"/>
        </w:rPr>
        <w:t>r</w:t>
      </w:r>
      <w:r>
        <w:rPr>
          <w:lang w:val="en"/>
        </w:rPr>
        <w:t xml:space="preserve">prising that its passage coincided with an uptick in often-gruesome vigilante violence against LGBT people in Russia—frequently carried out in the name of protecting Russian values and Russia’s children.”); </w:t>
      </w:r>
      <w:r w:rsidRPr="00305C25">
        <w:t>The Guardian, “Gay Couple Flee Russia After Receiving Death Threats” (January 29, 2018)</w:t>
      </w:r>
      <w:r>
        <w:t xml:space="preserve">, available at </w:t>
      </w:r>
      <w:r w:rsidRPr="00531663">
        <w:t>https://www.theguardian.com/world/2018/jan/29/gay-married-couple-flee-russia-after-receiving-death-threats</w:t>
      </w:r>
      <w:r>
        <w:t xml:space="preserve"> (Country Cond. </w:t>
      </w:r>
      <w:proofErr w:type="spellStart"/>
      <w:r>
        <w:t>Exh</w:t>
      </w:r>
      <w:proofErr w:type="spellEnd"/>
      <w:r>
        <w:t>. 11) (“</w:t>
      </w:r>
      <w:r w:rsidRPr="002662A9">
        <w:rPr>
          <w:lang w:val="en" w:eastAsia="en-US"/>
        </w:rPr>
        <w:t>LGBT rights groups said homophobic attacks had rocketed in Russia since President Vladimir Putin approved the co</w:t>
      </w:r>
      <w:r w:rsidRPr="002662A9">
        <w:rPr>
          <w:lang w:val="en" w:eastAsia="en-US"/>
        </w:rPr>
        <w:t>n</w:t>
      </w:r>
      <w:r w:rsidRPr="002662A9">
        <w:rPr>
          <w:lang w:val="en" w:eastAsia="en-US"/>
        </w:rPr>
        <w:t>troversial law outlawing the promotion of a homosexual lifestyle to minors in 2013.</w:t>
      </w:r>
      <w:r>
        <w:rPr>
          <w:lang w:val="en" w:eastAsia="en-US"/>
        </w:rPr>
        <w:t xml:space="preserve">”); </w:t>
      </w:r>
      <w:r w:rsidRPr="00A355CA">
        <w:rPr>
          <w:lang w:val="en" w:eastAsia="en-US"/>
        </w:rPr>
        <w:t>Reuters, “LGBT hate crimes double in Russia after ban on ‘gay propaganda’” (November 21, 2017)</w:t>
      </w:r>
      <w:r>
        <w:rPr>
          <w:lang w:val="en" w:eastAsia="en-US"/>
        </w:rPr>
        <w:t xml:space="preserve">, available at </w:t>
      </w:r>
      <w:r w:rsidRPr="006A2677">
        <w:rPr>
          <w:lang w:val="en" w:eastAsia="en-US"/>
        </w:rPr>
        <w:t>https://www.reuters.com/article/us-russia-lgbt-crime/lgbt-hate-crimes-double-in-russia-after-ban-on-gay-propaganda-idUSKBN1DL2FM</w:t>
      </w:r>
      <w:r>
        <w:rPr>
          <w:lang w:val="en" w:eastAsia="en-US"/>
        </w:rPr>
        <w:t xml:space="preserve"> (Country Cond. Exh. 12) (“</w:t>
      </w:r>
      <w:r w:rsidRPr="00CE1873">
        <w:rPr>
          <w:shd w:val="clear" w:color="auto" w:fill="FFFFFF"/>
        </w:rPr>
        <w:t>Hate crimes against lesbian, gay, bisexual and transgender (LGBT) people in Russia have doubled in five years, researchers said on Tuesday</w:t>
      </w:r>
      <w:r>
        <w:rPr>
          <w:shd w:val="clear" w:color="auto" w:fill="FFFFFF"/>
        </w:rPr>
        <w:t>, in the wake of a law banning ‘</w:t>
      </w:r>
      <w:r w:rsidRPr="00CE1873">
        <w:rPr>
          <w:shd w:val="clear" w:color="auto" w:fill="FFFFFF"/>
        </w:rPr>
        <w:t>gay propaganda.</w:t>
      </w:r>
      <w:r>
        <w:rPr>
          <w:shd w:val="clear" w:color="auto" w:fill="FFFFFF"/>
        </w:rPr>
        <w:t>’”).</w:t>
      </w:r>
    </w:p>
  </w:footnote>
  <w:footnote w:id="61">
    <w:p w14:paraId="5D190F85" w14:textId="77777777" w:rsidR="002F176D" w:rsidRDefault="002F176D">
      <w:pPr>
        <w:pStyle w:val="FootnoteText"/>
      </w:pPr>
      <w:r>
        <w:rPr>
          <w:rStyle w:val="FootnoteReference"/>
        </w:rPr>
        <w:footnoteRef/>
      </w:r>
      <w:r>
        <w:t xml:space="preserve"> </w:t>
      </w:r>
      <w:r>
        <w:tab/>
      </w:r>
      <w:r w:rsidRPr="00703A7C">
        <w:rPr>
          <w:bCs/>
        </w:rPr>
        <w:t xml:space="preserve">Committee against Torture by </w:t>
      </w:r>
      <w:proofErr w:type="spellStart"/>
      <w:r w:rsidRPr="00703A7C">
        <w:rPr>
          <w:bCs/>
        </w:rPr>
        <w:t>Stimul</w:t>
      </w:r>
      <w:proofErr w:type="spellEnd"/>
      <w:r w:rsidRPr="00703A7C">
        <w:rPr>
          <w:bCs/>
        </w:rPr>
        <w:t xml:space="preserve"> LGTB Group, Coming Out LGBT Group, Transgender Legal Defense Project, with contributions from Russian LGBT Network, </w:t>
      </w:r>
      <w:r w:rsidRPr="00703A7C">
        <w:rPr>
          <w:bCs/>
          <w:i/>
        </w:rPr>
        <w:t>Alternative Report on Implementation of the Convention against Torture and Other Cruel, Inhuman or Degrading Treatment or Punishment by the Russian Federation in Respect of Lesbian, Gay, Bisexual and Transgender Persons</w:t>
      </w:r>
      <w:r w:rsidRPr="00703A7C">
        <w:rPr>
          <w:bCs/>
        </w:rPr>
        <w:t xml:space="preserve"> (June 23, 2018)</w:t>
      </w:r>
      <w:r>
        <w:rPr>
          <w:bCs/>
        </w:rPr>
        <w:t xml:space="preserve"> </w:t>
      </w:r>
      <w:r>
        <w:t>(“Committee against Torture”)</w:t>
      </w:r>
      <w:r>
        <w:rPr>
          <w:bCs/>
        </w:rPr>
        <w:t>, at 4, a</w:t>
      </w:r>
      <w:r>
        <w:t xml:space="preserve">vailable at </w:t>
      </w:r>
      <w:r w:rsidRPr="007E2C61">
        <w:t>https://tbinternet.ohchr.org/Treaties/CAT/</w:t>
      </w:r>
      <w:r>
        <w:t xml:space="preserve"> </w:t>
      </w:r>
      <w:r w:rsidRPr="007E2C61">
        <w:t>Shared%20Documents/RUS/INT_CAT_CSS_</w:t>
      </w:r>
      <w:r>
        <w:t xml:space="preserve"> </w:t>
      </w:r>
      <w:r w:rsidRPr="007E2C61">
        <w:t>RUS_31611_E.pdf</w:t>
      </w:r>
      <w:r>
        <w:t xml:space="preserve">.  (Country Cond. </w:t>
      </w:r>
      <w:proofErr w:type="spellStart"/>
      <w:r>
        <w:t>Exh</w:t>
      </w:r>
      <w:proofErr w:type="spellEnd"/>
      <w:r>
        <w:t>. 6.)</w:t>
      </w:r>
    </w:p>
  </w:footnote>
  <w:footnote w:id="62">
    <w:p w14:paraId="25753BE8" w14:textId="77777777" w:rsidR="002F176D" w:rsidRDefault="002F176D">
      <w:pPr>
        <w:pStyle w:val="FootnoteText"/>
      </w:pPr>
      <w:r>
        <w:rPr>
          <w:rStyle w:val="FootnoteReference"/>
        </w:rPr>
        <w:footnoteRef/>
      </w:r>
      <w:r>
        <w:t xml:space="preserve"> </w:t>
      </w:r>
      <w:r>
        <w:tab/>
      </w:r>
      <w:r w:rsidRPr="002F5ABD">
        <w:t>Coalition of Civil Society Organizations, including Moscow LGBT-Initiative Group “</w:t>
      </w:r>
      <w:proofErr w:type="spellStart"/>
      <w:r w:rsidRPr="002F5ABD">
        <w:t>Sti</w:t>
      </w:r>
      <w:r w:rsidRPr="002F5ABD">
        <w:t>m</w:t>
      </w:r>
      <w:r w:rsidRPr="002F5ABD">
        <w:t>ul</w:t>
      </w:r>
      <w:proofErr w:type="spellEnd"/>
      <w:r w:rsidRPr="002F5ABD">
        <w:t>”; NGO “Phoenix PLUS”; Russian LGBT Network; Transgender Legal Defense Project; and “Coming Out” LGBT Group, </w:t>
      </w:r>
      <w:r w:rsidRPr="002F5ABD">
        <w:rPr>
          <w:i/>
        </w:rPr>
        <w:t>Written submission related to the situation of lesbian, gay, b</w:t>
      </w:r>
      <w:r w:rsidRPr="002F5ABD">
        <w:rPr>
          <w:i/>
        </w:rPr>
        <w:t>i</w:t>
      </w:r>
      <w:r w:rsidRPr="002F5ABD">
        <w:rPr>
          <w:i/>
        </w:rPr>
        <w:t>sexual and transgender persons and men who have sex with men in Russia , submitted for the consideration of the 6th periodic report by the Russian Federation for the 62nd Session of the Committee on Economic, Social and Cultural Rights (CESCR)</w:t>
      </w:r>
      <w:r w:rsidRPr="002F5ABD">
        <w:t xml:space="preserve"> (August 2017)</w:t>
      </w:r>
      <w:r>
        <w:t xml:space="preserve"> (“</w:t>
      </w:r>
      <w:r w:rsidRPr="002F5ABD">
        <w:t>Coalition of Civil Society Organizations</w:t>
      </w:r>
      <w:r>
        <w:t xml:space="preserve">”), at 8-9, available at </w:t>
      </w:r>
      <w:r w:rsidRPr="00FE79F1">
        <w:rPr>
          <w:bCs/>
        </w:rPr>
        <w:t>https://tbinternet.ohchr.org/Treaties/CESCR/</w:t>
      </w:r>
      <w:r>
        <w:rPr>
          <w:bCs/>
        </w:rPr>
        <w:t xml:space="preserve"> </w:t>
      </w:r>
      <w:r w:rsidRPr="00FE79F1">
        <w:rPr>
          <w:bCs/>
        </w:rPr>
        <w:t>Shared%20Documents/RUS/INT_CESCR_CSS_RUS_28824_E.pdf</w:t>
      </w:r>
      <w:r>
        <w:rPr>
          <w:bCs/>
        </w:rPr>
        <w:t xml:space="preserve"> (Country Cond. </w:t>
      </w:r>
      <w:proofErr w:type="spellStart"/>
      <w:r>
        <w:rPr>
          <w:bCs/>
        </w:rPr>
        <w:t>Exh</w:t>
      </w:r>
      <w:proofErr w:type="spellEnd"/>
      <w:r>
        <w:rPr>
          <w:bCs/>
        </w:rPr>
        <w:t xml:space="preserve">. 7); </w:t>
      </w:r>
      <w:r w:rsidRPr="00B62AF0">
        <w:rPr>
          <w:lang w:eastAsia="en-US"/>
        </w:rPr>
        <w:t xml:space="preserve">United Kingdom Foreign and Commonwealth Office, </w:t>
      </w:r>
      <w:r w:rsidRPr="00B62AF0">
        <w:rPr>
          <w:i/>
          <w:lang w:eastAsia="en-US"/>
        </w:rPr>
        <w:t>Challenging hate:  Monitoring anti-LGBT “hate speech” and responses to it in Belarus, Kyrgyzstan, Moldovia, Russia and Ukraine</w:t>
      </w:r>
      <w:r w:rsidRPr="00B62AF0">
        <w:rPr>
          <w:lang w:eastAsia="en-US"/>
        </w:rPr>
        <w:t xml:space="preserve"> (Febr</w:t>
      </w:r>
      <w:r w:rsidRPr="00B62AF0">
        <w:rPr>
          <w:lang w:eastAsia="en-US"/>
        </w:rPr>
        <w:t>u</w:t>
      </w:r>
      <w:r w:rsidRPr="00B62AF0">
        <w:rPr>
          <w:lang w:eastAsia="en-US"/>
        </w:rPr>
        <w:t>ary 2018)</w:t>
      </w:r>
      <w:r>
        <w:rPr>
          <w:lang w:eastAsia="en-US"/>
        </w:rPr>
        <w:t xml:space="preserve"> (“U.K. FCO”), at 72, available at </w:t>
      </w:r>
      <w:r w:rsidRPr="004F535F">
        <w:rPr>
          <w:lang w:eastAsia="en-US"/>
        </w:rPr>
        <w:t>https://www.article19.org/wp-content/uploads/2018/</w:t>
      </w:r>
      <w:r>
        <w:rPr>
          <w:lang w:eastAsia="en-US"/>
        </w:rPr>
        <w:t xml:space="preserve"> </w:t>
      </w:r>
      <w:r w:rsidRPr="004F535F">
        <w:rPr>
          <w:lang w:eastAsia="en-US"/>
        </w:rPr>
        <w:t>03/LGBT-Hate-Speech-Report-Central-Asia_March2018.pdf</w:t>
      </w:r>
      <w:r>
        <w:rPr>
          <w:lang w:eastAsia="en-US"/>
        </w:rPr>
        <w:t xml:space="preserve"> (Country Cond. </w:t>
      </w:r>
      <w:proofErr w:type="spellStart"/>
      <w:r>
        <w:rPr>
          <w:lang w:eastAsia="en-US"/>
        </w:rPr>
        <w:t>Exh</w:t>
      </w:r>
      <w:proofErr w:type="spellEnd"/>
      <w:r>
        <w:rPr>
          <w:lang w:eastAsia="en-US"/>
        </w:rPr>
        <w:t xml:space="preserve">. 3); </w:t>
      </w:r>
      <w:r w:rsidRPr="002F5ABD">
        <w:rPr>
          <w:bCs/>
        </w:rPr>
        <w:t xml:space="preserve">Committee against Torture </w:t>
      </w:r>
      <w:r>
        <w:t xml:space="preserve">(Country Cond. </w:t>
      </w:r>
      <w:proofErr w:type="spellStart"/>
      <w:r>
        <w:t>Exh</w:t>
      </w:r>
      <w:proofErr w:type="spellEnd"/>
      <w:r>
        <w:t>. 6).</w:t>
      </w:r>
    </w:p>
  </w:footnote>
  <w:footnote w:id="63">
    <w:p w14:paraId="1D87FDEA" w14:textId="77777777" w:rsidR="002F176D" w:rsidRDefault="002F176D">
      <w:pPr>
        <w:pStyle w:val="FootnoteText"/>
      </w:pPr>
      <w:r>
        <w:rPr>
          <w:rStyle w:val="FootnoteReference"/>
        </w:rPr>
        <w:footnoteRef/>
      </w:r>
      <w:r>
        <w:t xml:space="preserve"> </w:t>
      </w:r>
      <w:r>
        <w:tab/>
        <w:t xml:space="preserve">Committee against Torture, at 4 (Country Cond. </w:t>
      </w:r>
      <w:proofErr w:type="spellStart"/>
      <w:r>
        <w:t>Exh</w:t>
      </w:r>
      <w:proofErr w:type="spellEnd"/>
      <w:r>
        <w:t xml:space="preserve">. 6); </w:t>
      </w:r>
      <w:r w:rsidRPr="005F0CB9">
        <w:rPr>
          <w:i/>
        </w:rPr>
        <w:t>see also</w:t>
      </w:r>
      <w:r>
        <w:t xml:space="preserve"> </w:t>
      </w:r>
      <w:r w:rsidRPr="005F0CB9">
        <w:rPr>
          <w:rFonts w:eastAsia="Times New Roman"/>
        </w:rPr>
        <w:t xml:space="preserve">United States Department of State, Bureau of Democracy, Human Rights and Labor, </w:t>
      </w:r>
      <w:r w:rsidRPr="005F0CB9">
        <w:rPr>
          <w:rFonts w:eastAsia="Times New Roman"/>
          <w:i/>
        </w:rPr>
        <w:t xml:space="preserve">2017 Country Reports on Human Rights Practices—Russia </w:t>
      </w:r>
      <w:r w:rsidRPr="005F0CB9">
        <w:rPr>
          <w:rFonts w:eastAsia="Times New Roman"/>
        </w:rPr>
        <w:t>(April 20, 2018)</w:t>
      </w:r>
      <w:r>
        <w:rPr>
          <w:rFonts w:eastAsia="Times New Roman"/>
        </w:rPr>
        <w:t xml:space="preserve"> (“2017 State Department Russia Report”), at 55 </w:t>
      </w:r>
      <w:r w:rsidRPr="00926856">
        <w:rPr>
          <w:rFonts w:eastAsia="Times New Roman"/>
        </w:rPr>
        <w:t>available at</w:t>
      </w:r>
      <w:r>
        <w:rPr>
          <w:rFonts w:eastAsia="Times New Roman"/>
        </w:rPr>
        <w:t xml:space="preserve"> </w:t>
      </w:r>
      <w:r w:rsidRPr="00926856">
        <w:rPr>
          <w:rFonts w:eastAsia="Times New Roman"/>
          <w:color w:val="000000"/>
        </w:rPr>
        <w:t>https://www.state.gov/documents/organization/277</w:t>
      </w:r>
      <w:r>
        <w:rPr>
          <w:rFonts w:eastAsia="Times New Roman"/>
          <w:color w:val="000000"/>
        </w:rPr>
        <w:t>455</w:t>
      </w:r>
      <w:r w:rsidRPr="00926856">
        <w:rPr>
          <w:rFonts w:eastAsia="Times New Roman"/>
          <w:color w:val="000000"/>
        </w:rPr>
        <w:t>.pdf</w:t>
      </w:r>
      <w:r>
        <w:rPr>
          <w:rFonts w:eastAsia="Times New Roman"/>
          <w:color w:val="000000"/>
        </w:rPr>
        <w:t xml:space="preserve"> (Country Cond. </w:t>
      </w:r>
      <w:proofErr w:type="spellStart"/>
      <w:r>
        <w:rPr>
          <w:rFonts w:eastAsia="Times New Roman"/>
          <w:color w:val="000000"/>
        </w:rPr>
        <w:t>Exh</w:t>
      </w:r>
      <w:proofErr w:type="spellEnd"/>
      <w:r>
        <w:rPr>
          <w:rFonts w:eastAsia="Times New Roman"/>
          <w:color w:val="000000"/>
        </w:rPr>
        <w:t>. 1) (“</w:t>
      </w:r>
      <w:r w:rsidRPr="003F4B8F">
        <w:rPr>
          <w:rFonts w:ascii="robotoregular" w:hAnsi="robotoregular" w:cs="Arial"/>
          <w:lang w:eastAsia="en-US"/>
        </w:rPr>
        <w:t>There co</w:t>
      </w:r>
      <w:r w:rsidRPr="003F4B8F">
        <w:rPr>
          <w:rFonts w:ascii="robotoregular" w:hAnsi="robotoregular" w:cs="Arial"/>
          <w:lang w:eastAsia="en-US"/>
        </w:rPr>
        <w:t>n</w:t>
      </w:r>
      <w:r w:rsidRPr="003F4B8F">
        <w:rPr>
          <w:rFonts w:ascii="robotoregular" w:hAnsi="robotoregular" w:cs="Arial"/>
          <w:lang w:eastAsia="en-US"/>
        </w:rPr>
        <w:t>tinued to be reports of groups and individuals luring gay men on fake dates to beat and rob them.</w:t>
      </w:r>
      <w:r>
        <w:rPr>
          <w:rFonts w:ascii="robotoregular" w:hAnsi="robotoregular" w:cs="Arial"/>
          <w:lang w:eastAsia="en-US"/>
        </w:rPr>
        <w:t xml:space="preserve">”); </w:t>
      </w:r>
      <w:r w:rsidRPr="00961C43">
        <w:rPr>
          <w:rFonts w:eastAsia="Times New Roman"/>
        </w:rPr>
        <w:t xml:space="preserve">United States Department of State, Bureau of Democracy, Human Rights and Labor, </w:t>
      </w:r>
      <w:r w:rsidRPr="00961C43">
        <w:rPr>
          <w:rFonts w:eastAsia="Times New Roman"/>
          <w:i/>
        </w:rPr>
        <w:t xml:space="preserve">2016 Country Reports on Human Rights Practices—Russia </w:t>
      </w:r>
      <w:r w:rsidRPr="00961C43">
        <w:rPr>
          <w:rFonts w:eastAsia="Times New Roman"/>
        </w:rPr>
        <w:t>(March 3, 2017)</w:t>
      </w:r>
      <w:r>
        <w:rPr>
          <w:rFonts w:eastAsia="Times New Roman"/>
        </w:rPr>
        <w:t xml:space="preserve"> (2016 State Depar</w:t>
      </w:r>
      <w:r>
        <w:rPr>
          <w:rFonts w:eastAsia="Times New Roman"/>
        </w:rPr>
        <w:t>t</w:t>
      </w:r>
      <w:r>
        <w:rPr>
          <w:rFonts w:eastAsia="Times New Roman"/>
        </w:rPr>
        <w:t>ment Russia Report”), at 71</w:t>
      </w:r>
      <w:r w:rsidRPr="003F4B8F">
        <w:rPr>
          <w:rFonts w:eastAsia="Times New Roman"/>
        </w:rPr>
        <w:t>, available at https://www.state.gov/documents/organization/</w:t>
      </w:r>
      <w:r>
        <w:rPr>
          <w:rFonts w:eastAsia="Times New Roman"/>
        </w:rPr>
        <w:t xml:space="preserve"> </w:t>
      </w:r>
      <w:r w:rsidRPr="003F4B8F">
        <w:rPr>
          <w:rFonts w:eastAsia="Times New Roman"/>
        </w:rPr>
        <w:t>265678.pdf</w:t>
      </w:r>
      <w:r>
        <w:rPr>
          <w:rFonts w:eastAsia="Times New Roman"/>
        </w:rPr>
        <w:t xml:space="preserve"> </w:t>
      </w:r>
      <w:r>
        <w:rPr>
          <w:rFonts w:ascii="robotoregular" w:hAnsi="robotoregular" w:cs="Arial"/>
          <w:lang w:eastAsia="en-US"/>
        </w:rPr>
        <w:t xml:space="preserve">(Country Cond. </w:t>
      </w:r>
      <w:proofErr w:type="spellStart"/>
      <w:r>
        <w:rPr>
          <w:rFonts w:ascii="robotoregular" w:hAnsi="robotoregular" w:cs="Arial"/>
          <w:lang w:eastAsia="en-US"/>
        </w:rPr>
        <w:t>Exh</w:t>
      </w:r>
      <w:proofErr w:type="spellEnd"/>
      <w:r>
        <w:rPr>
          <w:rFonts w:ascii="robotoregular" w:hAnsi="robotoregular" w:cs="Arial"/>
          <w:lang w:eastAsia="en-US"/>
        </w:rPr>
        <w:t xml:space="preserve">. 2) </w:t>
      </w:r>
      <w:r>
        <w:rPr>
          <w:rFonts w:eastAsia="Times New Roman"/>
        </w:rPr>
        <w:t>(“</w:t>
      </w:r>
      <w:r w:rsidRPr="003F4B8F">
        <w:rPr>
          <w:rFonts w:ascii="robotoregular" w:hAnsi="robotoregular" w:cs="Arial"/>
          <w:lang w:eastAsia="en-US"/>
        </w:rPr>
        <w:t xml:space="preserve">In May the newspaper </w:t>
      </w:r>
      <w:proofErr w:type="spellStart"/>
      <w:r w:rsidRPr="003F4B8F">
        <w:rPr>
          <w:rFonts w:ascii="robotoregular" w:hAnsi="robotoregular" w:cs="Arial"/>
          <w:i/>
          <w:iCs/>
          <w:lang w:eastAsia="en-US"/>
        </w:rPr>
        <w:t>Meduza</w:t>
      </w:r>
      <w:proofErr w:type="spellEnd"/>
      <w:r w:rsidRPr="003F4B8F">
        <w:rPr>
          <w:rFonts w:ascii="robotoregular" w:hAnsi="robotoregular" w:cs="Arial"/>
          <w:lang w:eastAsia="en-US"/>
        </w:rPr>
        <w:t xml:space="preserve"> reported that a criminal gang in St. Petersburg lured gay men on fake dates</w:t>
      </w:r>
      <w:r>
        <w:rPr>
          <w:rFonts w:ascii="robotoregular" w:hAnsi="robotoregular" w:cs="Arial"/>
          <w:lang w:eastAsia="en-US"/>
        </w:rPr>
        <w:t xml:space="preserve"> in order to beat and rob them.”); U.K. FCO, at 72 (Country Cond. </w:t>
      </w:r>
      <w:proofErr w:type="spellStart"/>
      <w:r>
        <w:rPr>
          <w:rFonts w:ascii="robotoregular" w:hAnsi="robotoregular" w:cs="Arial"/>
          <w:lang w:eastAsia="en-US"/>
        </w:rPr>
        <w:t>Exh</w:t>
      </w:r>
      <w:proofErr w:type="spellEnd"/>
      <w:r>
        <w:rPr>
          <w:rFonts w:ascii="robotoregular" w:hAnsi="robotoregular" w:cs="Arial"/>
          <w:lang w:eastAsia="en-US"/>
        </w:rPr>
        <w:t>. 3) (“</w:t>
      </w:r>
      <w:r>
        <w:rPr>
          <w:lang w:eastAsia="en-US"/>
        </w:rPr>
        <w:t>Since 2012, anti-LGBT vigilante groups have emerged across Ru</w:t>
      </w:r>
      <w:r>
        <w:rPr>
          <w:lang w:eastAsia="en-US"/>
        </w:rPr>
        <w:t>s</w:t>
      </w:r>
      <w:r>
        <w:rPr>
          <w:lang w:eastAsia="en-US"/>
        </w:rPr>
        <w:t>sia: a network of radical, nationalist men who lure gay men and teenage children on the pretext of a date, hold them against their will, and humiliate, expose and blackmail them by videotaping the encounter.  Hundreds of such videos have been posted online.”).</w:t>
      </w:r>
    </w:p>
  </w:footnote>
  <w:footnote w:id="64">
    <w:p w14:paraId="0524AA31" w14:textId="77777777" w:rsidR="002F176D" w:rsidRDefault="002F176D">
      <w:pPr>
        <w:pStyle w:val="FootnoteText"/>
      </w:pPr>
      <w:r>
        <w:rPr>
          <w:rStyle w:val="FootnoteReference"/>
        </w:rPr>
        <w:footnoteRef/>
      </w:r>
      <w:r>
        <w:t xml:space="preserve"> </w:t>
      </w:r>
      <w:r>
        <w:tab/>
      </w:r>
      <w:r w:rsidRPr="00B62AF0">
        <w:t>Gay Star News, “Russia website wants users to hunt gays in Saw-inspired horror ‘game’” (April 26, 2018)</w:t>
      </w:r>
      <w:r>
        <w:t xml:space="preserve">, available at </w:t>
      </w:r>
      <w:r w:rsidRPr="00771501">
        <w:t>https://www.gaystarnews.com/article/russia-website-wants-users-to-hunt-gays-in-saw-inspired-horror-game/#gs.cKZmCwaO</w:t>
      </w:r>
      <w:r>
        <w:t xml:space="preserve">.  (Country Cond. </w:t>
      </w:r>
      <w:proofErr w:type="spellStart"/>
      <w:r>
        <w:t>Exh</w:t>
      </w:r>
      <w:proofErr w:type="spellEnd"/>
      <w:r>
        <w:t xml:space="preserve">. 10.) </w:t>
      </w:r>
    </w:p>
  </w:footnote>
  <w:footnote w:id="65">
    <w:p w14:paraId="6AA1C568" w14:textId="77777777" w:rsidR="002F176D" w:rsidRDefault="002F176D" w:rsidP="00A355CA">
      <w:pPr>
        <w:pStyle w:val="FootnoteText"/>
      </w:pPr>
      <w:r>
        <w:rPr>
          <w:rStyle w:val="FootnoteReference"/>
        </w:rPr>
        <w:footnoteRef/>
      </w:r>
      <w:r>
        <w:t xml:space="preserve"> </w:t>
      </w:r>
      <w:r>
        <w:tab/>
      </w:r>
      <w:proofErr w:type="gramStart"/>
      <w:r>
        <w:rPr>
          <w:bCs/>
        </w:rPr>
        <w:t>Committee against Torture, at 4.</w:t>
      </w:r>
      <w:proofErr w:type="gramEnd"/>
      <w:r>
        <w:t xml:space="preserve">  (Country Cond. </w:t>
      </w:r>
      <w:proofErr w:type="spellStart"/>
      <w:r>
        <w:t>Exh</w:t>
      </w:r>
      <w:proofErr w:type="spellEnd"/>
      <w:r>
        <w:t>. 6.)</w:t>
      </w:r>
    </w:p>
  </w:footnote>
  <w:footnote w:id="66">
    <w:p w14:paraId="5B1F1C0B" w14:textId="77777777" w:rsidR="002F176D" w:rsidRDefault="002F176D" w:rsidP="00305C25">
      <w:pPr>
        <w:pStyle w:val="FootnoteText"/>
      </w:pPr>
      <w:r>
        <w:rPr>
          <w:rStyle w:val="FootnoteReference"/>
        </w:rPr>
        <w:footnoteRef/>
      </w:r>
      <w:r>
        <w:t xml:space="preserve"> </w:t>
      </w:r>
      <w:r>
        <w:tab/>
      </w:r>
      <w:proofErr w:type="gramStart"/>
      <w:r w:rsidRPr="005F0CB9">
        <w:rPr>
          <w:i/>
        </w:rPr>
        <w:t>Id.</w:t>
      </w:r>
      <w:r>
        <w:t xml:space="preserve"> at 5.</w:t>
      </w:r>
      <w:proofErr w:type="gramEnd"/>
    </w:p>
  </w:footnote>
  <w:footnote w:id="67">
    <w:p w14:paraId="5383B619" w14:textId="77777777" w:rsidR="002F176D" w:rsidRDefault="002F176D">
      <w:pPr>
        <w:pStyle w:val="FootnoteText"/>
      </w:pPr>
      <w:r>
        <w:rPr>
          <w:rStyle w:val="FootnoteReference"/>
        </w:rPr>
        <w:footnoteRef/>
      </w:r>
      <w:r>
        <w:t xml:space="preserve"> </w:t>
      </w:r>
      <w:r>
        <w:tab/>
      </w:r>
      <w:r w:rsidRPr="005F0CB9">
        <w:rPr>
          <w:i/>
        </w:rPr>
        <w:t>Id.</w:t>
      </w:r>
      <w:r>
        <w:t xml:space="preserve"> at 9; </w:t>
      </w:r>
      <w:r w:rsidRPr="005F0CB9">
        <w:rPr>
          <w:i/>
        </w:rPr>
        <w:t>see also</w:t>
      </w:r>
      <w:r>
        <w:t xml:space="preserve"> 2017 State Department Russia Report, at 55 (Country Cond. </w:t>
      </w:r>
      <w:proofErr w:type="spellStart"/>
      <w:r>
        <w:t>Exh</w:t>
      </w:r>
      <w:proofErr w:type="spellEnd"/>
      <w:r>
        <w:t>. 1) (“</w:t>
      </w:r>
      <w:r w:rsidRPr="003F4B8F">
        <w:rPr>
          <w:rFonts w:ascii="robotoregular" w:hAnsi="robotoregular" w:cs="Arial"/>
          <w:lang w:eastAsia="en-US"/>
        </w:rPr>
        <w:t xml:space="preserve">LGBTI individuals often declined to report attacks against them due to fears police would subject them to mistreatment or publicize their sexual </w:t>
      </w:r>
      <w:r>
        <w:rPr>
          <w:rFonts w:ascii="robotoregular" w:hAnsi="robotoregular" w:cs="Arial"/>
          <w:lang w:eastAsia="en-US"/>
        </w:rPr>
        <w:t>orientation or gender identity.”)</w:t>
      </w:r>
      <w:r>
        <w:t>.</w:t>
      </w:r>
    </w:p>
  </w:footnote>
  <w:footnote w:id="68">
    <w:p w14:paraId="7EEDD0B1" w14:textId="77777777" w:rsidR="002F176D" w:rsidRDefault="002F176D">
      <w:pPr>
        <w:pStyle w:val="FootnoteText"/>
      </w:pPr>
      <w:r>
        <w:rPr>
          <w:rStyle w:val="FootnoteReference"/>
        </w:rPr>
        <w:footnoteRef/>
      </w:r>
      <w:r>
        <w:t xml:space="preserve"> </w:t>
      </w:r>
      <w:r>
        <w:tab/>
      </w:r>
      <w:proofErr w:type="gramStart"/>
      <w:r>
        <w:t>2017 State Department Russia Report, at 55.</w:t>
      </w:r>
      <w:proofErr w:type="gramEnd"/>
      <w:r>
        <w:t xml:space="preserve">  (Country Cond. </w:t>
      </w:r>
      <w:proofErr w:type="spellStart"/>
      <w:r>
        <w:t>Exh</w:t>
      </w:r>
      <w:proofErr w:type="spellEnd"/>
      <w:r>
        <w:t>. 1.)</w:t>
      </w:r>
    </w:p>
  </w:footnote>
  <w:footnote w:id="69">
    <w:p w14:paraId="046C20EC" w14:textId="77777777" w:rsidR="002F176D" w:rsidRDefault="002F176D">
      <w:pPr>
        <w:pStyle w:val="FootnoteText"/>
      </w:pPr>
      <w:r>
        <w:rPr>
          <w:rStyle w:val="FootnoteReference"/>
        </w:rPr>
        <w:footnoteRef/>
      </w:r>
      <w:r>
        <w:t xml:space="preserve"> </w:t>
      </w:r>
      <w:r>
        <w:tab/>
      </w:r>
      <w:proofErr w:type="gramStart"/>
      <w:r w:rsidRPr="00961C43">
        <w:rPr>
          <w:i/>
        </w:rPr>
        <w:t>Id.</w:t>
      </w:r>
      <w:r>
        <w:t xml:space="preserve"> at 54.</w:t>
      </w:r>
      <w:proofErr w:type="gramEnd"/>
    </w:p>
  </w:footnote>
  <w:footnote w:id="70">
    <w:p w14:paraId="4337B2B5" w14:textId="77777777" w:rsidR="002F176D" w:rsidRDefault="002F176D">
      <w:pPr>
        <w:pStyle w:val="FootnoteText"/>
      </w:pPr>
      <w:r>
        <w:rPr>
          <w:rStyle w:val="FootnoteReference"/>
        </w:rPr>
        <w:footnoteRef/>
      </w:r>
      <w:r>
        <w:t xml:space="preserve"> </w:t>
      </w:r>
      <w:r>
        <w:tab/>
      </w:r>
      <w:proofErr w:type="gramStart"/>
      <w:r>
        <w:t>Coalition of Civil Society Organizations, at 7.</w:t>
      </w:r>
      <w:proofErr w:type="gramEnd"/>
      <w:r>
        <w:t xml:space="preserve">  (Country Cond. </w:t>
      </w:r>
      <w:proofErr w:type="spellStart"/>
      <w:r>
        <w:t>Exh</w:t>
      </w:r>
      <w:proofErr w:type="spellEnd"/>
      <w:r>
        <w:t>. 7.)</w:t>
      </w:r>
    </w:p>
  </w:footnote>
  <w:footnote w:id="71">
    <w:p w14:paraId="4ACFB3B4" w14:textId="77777777" w:rsidR="002F176D" w:rsidRDefault="002F176D">
      <w:pPr>
        <w:pStyle w:val="FootnoteText"/>
      </w:pPr>
      <w:r>
        <w:rPr>
          <w:rStyle w:val="FootnoteReference"/>
        </w:rPr>
        <w:footnoteRef/>
      </w:r>
      <w:r>
        <w:t xml:space="preserve"> </w:t>
      </w:r>
      <w:r>
        <w:tab/>
      </w:r>
      <w:proofErr w:type="gramStart"/>
      <w:r>
        <w:t>2017 State Department Russia Report, at 56.</w:t>
      </w:r>
      <w:proofErr w:type="gramEnd"/>
      <w:r>
        <w:t xml:space="preserve">  (Country Cond. </w:t>
      </w:r>
      <w:proofErr w:type="spellStart"/>
      <w:r>
        <w:t>Exh</w:t>
      </w:r>
      <w:proofErr w:type="spellEnd"/>
      <w:r>
        <w:t>. 1.)</w:t>
      </w:r>
    </w:p>
  </w:footnote>
  <w:footnote w:id="72">
    <w:p w14:paraId="1D2DD417" w14:textId="77777777" w:rsidR="002F176D" w:rsidRDefault="002F176D">
      <w:pPr>
        <w:pStyle w:val="FootnoteText"/>
      </w:pPr>
      <w:r>
        <w:rPr>
          <w:rStyle w:val="FootnoteReference"/>
        </w:rPr>
        <w:footnoteRef/>
      </w:r>
      <w:r>
        <w:t xml:space="preserve"> </w:t>
      </w:r>
      <w:r>
        <w:tab/>
        <w:t xml:space="preserve">U.K. FCO, at 72 (Country Cond. </w:t>
      </w:r>
      <w:proofErr w:type="spellStart"/>
      <w:r>
        <w:t>Exh</w:t>
      </w:r>
      <w:proofErr w:type="spellEnd"/>
      <w:r>
        <w:t xml:space="preserve">. 3); </w:t>
      </w:r>
      <w:r w:rsidRPr="00AC031B">
        <w:rPr>
          <w:i/>
        </w:rPr>
        <w:t>see also id.</w:t>
      </w:r>
      <w:r>
        <w:t xml:space="preserve"> </w:t>
      </w:r>
      <w:proofErr w:type="gramStart"/>
      <w:r>
        <w:t>at</w:t>
      </w:r>
      <w:proofErr w:type="gramEnd"/>
      <w:r>
        <w:t xml:space="preserve"> 73 (“</w:t>
      </w:r>
      <w:r>
        <w:rPr>
          <w:lang w:eastAsia="en-US"/>
        </w:rPr>
        <w:t>Russian state officials regularly articulate hateful and discriminatory viewpoints about LGBT people.”).</w:t>
      </w:r>
    </w:p>
  </w:footnote>
  <w:footnote w:id="73">
    <w:p w14:paraId="022E25B7" w14:textId="77777777" w:rsidR="002F176D" w:rsidRDefault="002F176D">
      <w:pPr>
        <w:pStyle w:val="FootnoteText"/>
      </w:pPr>
      <w:r>
        <w:rPr>
          <w:rStyle w:val="FootnoteReference"/>
        </w:rPr>
        <w:footnoteRef/>
      </w:r>
      <w:r>
        <w:t xml:space="preserve"> </w:t>
      </w:r>
      <w:r>
        <w:tab/>
        <w:t xml:space="preserve">2017 State Department Russia Report, at 1-2 (Country Cond. </w:t>
      </w:r>
      <w:proofErr w:type="spellStart"/>
      <w:r>
        <w:t>Exh</w:t>
      </w:r>
      <w:proofErr w:type="spellEnd"/>
      <w:r>
        <w:t xml:space="preserve">. 1); U.K. FCO, at 72 (Country Cond. </w:t>
      </w:r>
      <w:proofErr w:type="spellStart"/>
      <w:r>
        <w:t>Exh</w:t>
      </w:r>
      <w:proofErr w:type="spellEnd"/>
      <w:r>
        <w:t xml:space="preserve">. 3); </w:t>
      </w:r>
      <w:r w:rsidRPr="00645C62">
        <w:t xml:space="preserve">Human Rights Watch, </w:t>
      </w:r>
      <w:r w:rsidRPr="00645C62">
        <w:rPr>
          <w:i/>
        </w:rPr>
        <w:t>28th Annual World Report 2018</w:t>
      </w:r>
      <w:r w:rsidRPr="00D75C52">
        <w:t xml:space="preserve">, </w:t>
      </w:r>
      <w:r>
        <w:t xml:space="preserve">at 445, </w:t>
      </w:r>
      <w:r w:rsidRPr="00D75C52">
        <w:t>available at https://www.hrw.org/sites/default/files/world_report_download/201801world_report_web.pdf</w:t>
      </w:r>
      <w:r>
        <w:t xml:space="preserve"> (Country Cond. </w:t>
      </w:r>
      <w:proofErr w:type="spellStart"/>
      <w:r>
        <w:t>Exh</w:t>
      </w:r>
      <w:proofErr w:type="spellEnd"/>
      <w:r>
        <w:t>. 5).</w:t>
      </w:r>
    </w:p>
  </w:footnote>
  <w:footnote w:id="74">
    <w:p w14:paraId="3F69892A" w14:textId="77777777" w:rsidR="002F176D" w:rsidRDefault="002F176D">
      <w:pPr>
        <w:pStyle w:val="FootnoteText"/>
      </w:pPr>
      <w:r>
        <w:rPr>
          <w:rStyle w:val="FootnoteReference"/>
        </w:rPr>
        <w:footnoteRef/>
      </w:r>
      <w:r>
        <w:t xml:space="preserve"> </w:t>
      </w:r>
      <w:r>
        <w:tab/>
      </w:r>
      <w:r w:rsidRPr="001022D6">
        <w:t>The New York Times, “</w:t>
      </w:r>
      <w:r w:rsidRPr="001022D6">
        <w:rPr>
          <w:rStyle w:val="balancedheadline"/>
          <w:rFonts w:cstheme="minorHAnsi"/>
          <w:iCs/>
          <w:color w:val="121212"/>
          <w:lang w:val="en"/>
        </w:rPr>
        <w:t>Chechnya Renews Crackdown on Gay People, Rights Group Says” (Ja</w:t>
      </w:r>
      <w:r w:rsidRPr="001022D6">
        <w:rPr>
          <w:rStyle w:val="balancedheadline"/>
          <w:rFonts w:cstheme="minorHAnsi"/>
          <w:iCs/>
          <w:color w:val="121212"/>
          <w:lang w:val="en"/>
        </w:rPr>
        <w:t>n</w:t>
      </w:r>
      <w:r w:rsidRPr="001022D6">
        <w:rPr>
          <w:rStyle w:val="balancedheadline"/>
          <w:rFonts w:cstheme="minorHAnsi"/>
          <w:iCs/>
          <w:color w:val="121212"/>
          <w:lang w:val="en"/>
        </w:rPr>
        <w:t>uary 14, 2019)</w:t>
      </w:r>
      <w:r>
        <w:rPr>
          <w:rStyle w:val="balancedheadline"/>
          <w:rFonts w:cstheme="minorHAnsi"/>
          <w:iCs/>
          <w:color w:val="121212"/>
          <w:lang w:val="en"/>
        </w:rPr>
        <w:t xml:space="preserve">, at 1, available at </w:t>
      </w:r>
      <w:r w:rsidRPr="00474CE0">
        <w:rPr>
          <w:rStyle w:val="balancedheadline"/>
          <w:rFonts w:cstheme="minorHAnsi"/>
          <w:iCs/>
          <w:color w:val="121212"/>
          <w:lang w:val="en"/>
        </w:rPr>
        <w:t>https://www.nytimes.com/2019/01/14/world/europe/chechnya-gay-people-russia.html</w:t>
      </w:r>
      <w:r>
        <w:rPr>
          <w:rStyle w:val="balancedheadline"/>
          <w:rFonts w:cstheme="minorHAnsi"/>
          <w:iCs/>
          <w:color w:val="121212"/>
          <w:lang w:val="en"/>
        </w:rPr>
        <w:t>.  (Country Cond. Exh. 8.)</w:t>
      </w:r>
    </w:p>
  </w:footnote>
  <w:footnote w:id="75">
    <w:p w14:paraId="4EBFE621" w14:textId="77777777" w:rsidR="002F176D" w:rsidRDefault="002F176D">
      <w:pPr>
        <w:pStyle w:val="FootnoteText"/>
      </w:pPr>
      <w:r>
        <w:rPr>
          <w:rStyle w:val="FootnoteReference"/>
        </w:rPr>
        <w:footnoteRef/>
      </w:r>
      <w:r>
        <w:t xml:space="preserve"> </w:t>
      </w:r>
      <w:r>
        <w:tab/>
      </w:r>
      <w:r w:rsidRPr="00AC747F">
        <w:rPr>
          <w:rFonts w:eastAsia="Times New Roman"/>
        </w:rPr>
        <w:t xml:space="preserve">United States Department of State, Bureau of Democracy, Human Rights and Labor, </w:t>
      </w:r>
      <w:r w:rsidRPr="00AC747F">
        <w:rPr>
          <w:rFonts w:eastAsia="Times New Roman"/>
          <w:i/>
        </w:rPr>
        <w:t>2017 Cou</w:t>
      </w:r>
      <w:r w:rsidRPr="00AC747F">
        <w:rPr>
          <w:rFonts w:eastAsia="Times New Roman"/>
          <w:i/>
        </w:rPr>
        <w:t>n</w:t>
      </w:r>
      <w:r w:rsidRPr="00AC747F">
        <w:rPr>
          <w:rFonts w:eastAsia="Times New Roman"/>
          <w:i/>
        </w:rPr>
        <w:t>try Reports on Human Rights Practices—Belarus</w:t>
      </w:r>
      <w:r w:rsidRPr="00AC747F">
        <w:rPr>
          <w:rFonts w:eastAsia="Times New Roman"/>
        </w:rPr>
        <w:t xml:space="preserve"> (April 20, 2018)</w:t>
      </w:r>
      <w:r>
        <w:rPr>
          <w:rFonts w:eastAsia="Times New Roman"/>
        </w:rPr>
        <w:t xml:space="preserve"> (“2017 State Department Bel</w:t>
      </w:r>
      <w:r>
        <w:rPr>
          <w:rFonts w:eastAsia="Times New Roman"/>
        </w:rPr>
        <w:t>a</w:t>
      </w:r>
      <w:r>
        <w:rPr>
          <w:rFonts w:eastAsia="Times New Roman"/>
        </w:rPr>
        <w:t xml:space="preserve">rus Report”), at 41, </w:t>
      </w:r>
      <w:r w:rsidRPr="00926856">
        <w:rPr>
          <w:rFonts w:eastAsia="Times New Roman"/>
        </w:rPr>
        <w:t>available at</w:t>
      </w:r>
      <w:r>
        <w:rPr>
          <w:rFonts w:eastAsia="Times New Roman"/>
        </w:rPr>
        <w:t xml:space="preserve"> </w:t>
      </w:r>
      <w:r w:rsidRPr="00926856">
        <w:rPr>
          <w:rFonts w:eastAsia="Times New Roman"/>
          <w:color w:val="000000"/>
        </w:rPr>
        <w:t>https://www.state.gov/documents/organization/277387.pdf</w:t>
      </w:r>
      <w:r>
        <w:rPr>
          <w:rFonts w:eastAsia="Times New Roman"/>
          <w:color w:val="000000"/>
        </w:rPr>
        <w:t xml:space="preserve"> (Country Cond. </w:t>
      </w:r>
      <w:proofErr w:type="spellStart"/>
      <w:r>
        <w:rPr>
          <w:rFonts w:eastAsia="Times New Roman"/>
          <w:color w:val="000000"/>
        </w:rPr>
        <w:t>Exh</w:t>
      </w:r>
      <w:proofErr w:type="spellEnd"/>
      <w:r>
        <w:rPr>
          <w:rFonts w:eastAsia="Times New Roman"/>
          <w:color w:val="000000"/>
        </w:rPr>
        <w:t xml:space="preserve">. 13); </w:t>
      </w:r>
      <w:r w:rsidRPr="00AC747F">
        <w:rPr>
          <w:rFonts w:eastAsia="Times New Roman"/>
          <w:i/>
          <w:color w:val="000000"/>
        </w:rPr>
        <w:t>see also</w:t>
      </w:r>
      <w:r>
        <w:rPr>
          <w:rFonts w:eastAsia="Times New Roman"/>
          <w:color w:val="000000"/>
        </w:rPr>
        <w:t xml:space="preserve"> </w:t>
      </w:r>
      <w:r w:rsidRPr="00AC747F">
        <w:rPr>
          <w:rFonts w:eastAsia="Times New Roman"/>
        </w:rPr>
        <w:t xml:space="preserve">United States Department of State, Bureau of Democracy, Human Rights and Labor, </w:t>
      </w:r>
      <w:r w:rsidRPr="00AC747F">
        <w:rPr>
          <w:rFonts w:eastAsia="Times New Roman"/>
          <w:i/>
        </w:rPr>
        <w:t>2016 Country Reports on Human Rights Practices—Belarus</w:t>
      </w:r>
      <w:r w:rsidRPr="00AC747F">
        <w:rPr>
          <w:rFonts w:eastAsia="Times New Roman"/>
        </w:rPr>
        <w:t xml:space="preserve"> (March 3, 2017)</w:t>
      </w:r>
      <w:r>
        <w:rPr>
          <w:rFonts w:eastAsia="Times New Roman"/>
        </w:rPr>
        <w:t xml:space="preserve"> (“2016 State Department Belarus Report”), at 48, </w:t>
      </w:r>
      <w:r w:rsidRPr="00926856">
        <w:rPr>
          <w:rFonts w:eastAsia="Times New Roman"/>
        </w:rPr>
        <w:t>available at</w:t>
      </w:r>
      <w:r>
        <w:rPr>
          <w:rFonts w:eastAsia="Times New Roman"/>
        </w:rPr>
        <w:t xml:space="preserve"> </w:t>
      </w:r>
      <w:r w:rsidRPr="00E97A33">
        <w:rPr>
          <w:rFonts w:eastAsia="Times New Roman"/>
          <w:color w:val="000000"/>
        </w:rPr>
        <w:t>https://www.state.gov/documents/organization/265610.pdf</w:t>
      </w:r>
      <w:r>
        <w:rPr>
          <w:rFonts w:eastAsia="Times New Roman"/>
          <w:color w:val="000000"/>
        </w:rPr>
        <w:t xml:space="preserve"> (Country Cond. </w:t>
      </w:r>
      <w:proofErr w:type="spellStart"/>
      <w:r>
        <w:rPr>
          <w:rFonts w:eastAsia="Times New Roman"/>
          <w:color w:val="000000"/>
        </w:rPr>
        <w:t>Exh</w:t>
      </w:r>
      <w:proofErr w:type="spellEnd"/>
      <w:r>
        <w:rPr>
          <w:rFonts w:eastAsia="Times New Roman"/>
          <w:color w:val="000000"/>
        </w:rPr>
        <w:t>. 14) (“</w:t>
      </w:r>
      <w:r w:rsidRPr="00531663">
        <w:rPr>
          <w:rFonts w:ascii="robotoregular" w:hAnsi="robotoregular" w:cs="Arial"/>
          <w:lang w:eastAsia="en-US"/>
        </w:rPr>
        <w:t>A number of individuals filed complaints, but police refused to open investigations during the year.</w:t>
      </w:r>
      <w:r>
        <w:rPr>
          <w:rFonts w:ascii="robotoregular" w:hAnsi="robotoregular" w:cs="Arial"/>
          <w:lang w:eastAsia="en-US"/>
        </w:rPr>
        <w:t>”)</w:t>
      </w:r>
      <w:r w:rsidR="0091446C">
        <w:rPr>
          <w:rFonts w:ascii="robotoregular" w:hAnsi="robotoregular" w:cs="Arial"/>
          <w:lang w:eastAsia="en-US"/>
        </w:rPr>
        <w:t xml:space="preserve">; </w:t>
      </w:r>
      <w:r w:rsidR="0091446C" w:rsidRPr="0091446C">
        <w:t>A</w:t>
      </w:r>
      <w:r w:rsidR="0091446C" w:rsidRPr="0091446C">
        <w:t>m</w:t>
      </w:r>
      <w:r w:rsidR="0091446C" w:rsidRPr="0091446C">
        <w:t xml:space="preserve">nesty International, </w:t>
      </w:r>
      <w:r w:rsidR="0091446C" w:rsidRPr="0091446C">
        <w:rPr>
          <w:i/>
        </w:rPr>
        <w:t>Less Equal, LGBTI Human Rights Defenders in Armenia, Belarus, Kazak</w:t>
      </w:r>
      <w:r w:rsidR="0091446C" w:rsidRPr="0091446C">
        <w:rPr>
          <w:i/>
        </w:rPr>
        <w:t>h</w:t>
      </w:r>
      <w:r w:rsidR="0091446C" w:rsidRPr="0091446C">
        <w:rPr>
          <w:i/>
        </w:rPr>
        <w:t>stan, and Kyrgyzstan</w:t>
      </w:r>
      <w:r w:rsidR="0091446C" w:rsidRPr="0091446C">
        <w:t xml:space="preserve"> (December 22, 2017)</w:t>
      </w:r>
      <w:r w:rsidR="0091446C">
        <w:t xml:space="preserve">, at 26, available at </w:t>
      </w:r>
      <w:r w:rsidR="0091446C" w:rsidRPr="00E24499">
        <w:t>https://www.amnestyusa.org/</w:t>
      </w:r>
      <w:r w:rsidR="0091446C">
        <w:t xml:space="preserve"> </w:t>
      </w:r>
      <w:proofErr w:type="spellStart"/>
      <w:r w:rsidR="0091446C" w:rsidRPr="00E24499">
        <w:t>wp</w:t>
      </w:r>
      <w:proofErr w:type="spellEnd"/>
      <w:r w:rsidR="0091446C" w:rsidRPr="00E24499">
        <w:t>-content/uploads/2017/12/LGBTI-REPORT2017-web.pdf</w:t>
      </w:r>
      <w:r w:rsidR="0091446C">
        <w:t xml:space="preserve"> (Country Cond. </w:t>
      </w:r>
      <w:proofErr w:type="spellStart"/>
      <w:r w:rsidR="0091446C">
        <w:t>Exh</w:t>
      </w:r>
      <w:proofErr w:type="spellEnd"/>
      <w:r w:rsidR="0091446C">
        <w:t>. 17) (Like the Ru</w:t>
      </w:r>
      <w:r w:rsidR="0091446C">
        <w:t>s</w:t>
      </w:r>
      <w:r w:rsidR="0091446C">
        <w:t xml:space="preserve">sian police, police in Belarus “often fail to respond when LGBTI people are attacked on the street, or fail to follow up and investigate homophobic or transphobic attacks.  In some cases, people are reluctant to report attacks for fear of further victimization at the hands of the police.  </w:t>
      </w:r>
      <w:proofErr w:type="gramStart"/>
      <w:r w:rsidR="0091446C">
        <w:t>Or because they have no faith in the police to investigate.</w:t>
      </w:r>
      <w:proofErr w:type="gramEnd"/>
      <w:r w:rsidR="0091446C">
        <w:t xml:space="preserve">  Activists have also reported haras</w:t>
      </w:r>
      <w:r w:rsidR="0091446C">
        <w:t>s</w:t>
      </w:r>
      <w:r w:rsidR="0091446C">
        <w:t>ment and violence at the hands of the police.”)</w:t>
      </w:r>
      <w:r>
        <w:rPr>
          <w:rFonts w:ascii="robotoregular" w:hAnsi="robotoregular" w:cs="Arial"/>
          <w:lang w:eastAsia="en-US"/>
        </w:rPr>
        <w:t>.</w:t>
      </w:r>
    </w:p>
  </w:footnote>
  <w:footnote w:id="76">
    <w:p w14:paraId="32EC509D" w14:textId="77777777" w:rsidR="002F176D" w:rsidRDefault="002F176D">
      <w:pPr>
        <w:pStyle w:val="FootnoteText"/>
      </w:pPr>
      <w:r>
        <w:rPr>
          <w:rStyle w:val="FootnoteReference"/>
        </w:rPr>
        <w:footnoteRef/>
      </w:r>
      <w:r>
        <w:t xml:space="preserve"> </w:t>
      </w:r>
      <w:r>
        <w:tab/>
        <w:t xml:space="preserve">U.K. FCO, at 14.  (Country Cond. </w:t>
      </w:r>
      <w:proofErr w:type="spellStart"/>
      <w:r>
        <w:t>Exh</w:t>
      </w:r>
      <w:proofErr w:type="spellEnd"/>
      <w:r>
        <w:t>. 15.)</w:t>
      </w:r>
    </w:p>
  </w:footnote>
  <w:footnote w:id="77">
    <w:p w14:paraId="2EDD5B99" w14:textId="77777777" w:rsidR="002F176D" w:rsidRDefault="002F176D">
      <w:pPr>
        <w:pStyle w:val="FootnoteText"/>
      </w:pPr>
      <w:r>
        <w:rPr>
          <w:rStyle w:val="FootnoteReference"/>
        </w:rPr>
        <w:footnoteRef/>
      </w:r>
      <w:r>
        <w:t xml:space="preserve"> </w:t>
      </w:r>
      <w:r>
        <w:tab/>
      </w:r>
      <w:r w:rsidRPr="005824BD">
        <w:rPr>
          <w:i/>
        </w:rPr>
        <w:t>Id.</w:t>
      </w:r>
    </w:p>
  </w:footnote>
  <w:footnote w:id="78">
    <w:p w14:paraId="7D0FB7C6" w14:textId="77777777" w:rsidR="002F176D" w:rsidRDefault="002F176D">
      <w:pPr>
        <w:pStyle w:val="FootnoteText"/>
      </w:pPr>
      <w:r>
        <w:rPr>
          <w:rStyle w:val="FootnoteReference"/>
        </w:rPr>
        <w:footnoteRef/>
      </w:r>
      <w:r>
        <w:t xml:space="preserve"> </w:t>
      </w:r>
      <w:r>
        <w:tab/>
      </w:r>
      <w:proofErr w:type="gramStart"/>
      <w:r w:rsidRPr="005824BD">
        <w:rPr>
          <w:i/>
        </w:rPr>
        <w:t>Id.</w:t>
      </w:r>
      <w:r>
        <w:t xml:space="preserve"> at 17.</w:t>
      </w:r>
      <w:proofErr w:type="gramEnd"/>
    </w:p>
  </w:footnote>
  <w:footnote w:id="79">
    <w:p w14:paraId="5F0A13CD" w14:textId="77777777" w:rsidR="002F176D" w:rsidRDefault="002F176D">
      <w:pPr>
        <w:pStyle w:val="FootnoteText"/>
      </w:pPr>
      <w:r>
        <w:rPr>
          <w:rStyle w:val="FootnoteReference"/>
        </w:rPr>
        <w:footnoteRef/>
      </w:r>
      <w:r>
        <w:t xml:space="preserve"> </w:t>
      </w:r>
      <w:r>
        <w:tab/>
      </w:r>
      <w:r w:rsidRPr="00103852">
        <w:rPr>
          <w:i/>
        </w:rPr>
        <w:t>See</w:t>
      </w:r>
      <w:r>
        <w:t xml:space="preserve">, </w:t>
      </w:r>
      <w:r w:rsidRPr="00103852">
        <w:rPr>
          <w:i/>
        </w:rPr>
        <w:t>e.g.</w:t>
      </w:r>
      <w:r>
        <w:t xml:space="preserve">, </w:t>
      </w:r>
      <w:r w:rsidRPr="00F9121C">
        <w:rPr>
          <w:i/>
        </w:rPr>
        <w:t xml:space="preserve">Matter of </w:t>
      </w:r>
      <w:proofErr w:type="spellStart"/>
      <w:r w:rsidRPr="00F9121C">
        <w:rPr>
          <w:i/>
        </w:rPr>
        <w:t>Toboso</w:t>
      </w:r>
      <w:proofErr w:type="spellEnd"/>
      <w:r w:rsidRPr="00F9121C">
        <w:rPr>
          <w:i/>
        </w:rPr>
        <w:t>-Alfonso</w:t>
      </w:r>
      <w:r>
        <w:t>, 20 I. &amp; N. Dec. 819 (BIA 1990) (homosexuality is an imm</w:t>
      </w:r>
      <w:r>
        <w:t>u</w:t>
      </w:r>
      <w:r>
        <w:t xml:space="preserve">table characteristic; gay men from Cuba are members of a particular social group); </w:t>
      </w:r>
      <w:r>
        <w:rPr>
          <w:rFonts w:ascii="IBM Plex Sans" w:hAnsi="IBM Plex Sans" w:cs="Arial"/>
          <w:i/>
          <w:iCs/>
          <w:color w:val="212529"/>
          <w:lang w:val="en"/>
        </w:rPr>
        <w:t>Vitug v. Hol</w:t>
      </w:r>
      <w:r>
        <w:rPr>
          <w:rFonts w:ascii="IBM Plex Sans" w:hAnsi="IBM Plex Sans" w:cs="Arial"/>
          <w:i/>
          <w:iCs/>
          <w:color w:val="212529"/>
          <w:lang w:val="en"/>
        </w:rPr>
        <w:t>d</w:t>
      </w:r>
      <w:r>
        <w:rPr>
          <w:rFonts w:ascii="IBM Plex Sans" w:hAnsi="IBM Plex Sans" w:cs="Arial"/>
          <w:i/>
          <w:iCs/>
          <w:color w:val="212529"/>
          <w:lang w:val="en"/>
        </w:rPr>
        <w:t>er,</w:t>
      </w:r>
      <w:r>
        <w:rPr>
          <w:rFonts w:ascii="IBM Plex Sans" w:hAnsi="IBM Plex Sans" w:cs="Arial"/>
          <w:color w:val="212529"/>
          <w:lang w:val="en"/>
        </w:rPr>
        <w:t xml:space="preserve"> </w:t>
      </w:r>
      <w:r w:rsidRPr="00A020AB">
        <w:rPr>
          <w:rFonts w:ascii="IBM Plex Sans" w:hAnsi="IBM Plex Sans" w:cs="Arial"/>
          <w:lang w:val="en"/>
        </w:rPr>
        <w:t xml:space="preserve">723 F.3d 1056, 1064 </w:t>
      </w:r>
      <w:r>
        <w:rPr>
          <w:rFonts w:ascii="IBM Plex Sans" w:hAnsi="IBM Plex Sans" w:cs="Arial"/>
          <w:color w:val="212529"/>
          <w:lang w:val="en"/>
        </w:rPr>
        <w:t>(9th Cir.</w:t>
      </w:r>
      <w:r w:rsidR="004E1465">
        <w:rPr>
          <w:rFonts w:ascii="IBM Plex Sans" w:hAnsi="IBM Plex Sans" w:cs="Arial"/>
          <w:color w:val="212529"/>
          <w:lang w:val="en"/>
        </w:rPr>
        <w:t xml:space="preserve"> </w:t>
      </w:r>
      <w:r>
        <w:rPr>
          <w:rFonts w:ascii="IBM Plex Sans" w:hAnsi="IBM Plex Sans" w:cs="Arial"/>
          <w:color w:val="212529"/>
          <w:lang w:val="en"/>
        </w:rPr>
        <w:t xml:space="preserve">2013) (holding that “homosexuals are a ‘particular social group,’ and therefore that homosexuality is a protected ground”); </w:t>
      </w:r>
      <w:proofErr w:type="spellStart"/>
      <w:r w:rsidRPr="00F9121C">
        <w:rPr>
          <w:i/>
        </w:rPr>
        <w:t>Morett</w:t>
      </w:r>
      <w:proofErr w:type="spellEnd"/>
      <w:r w:rsidRPr="00F9121C">
        <w:rPr>
          <w:i/>
        </w:rPr>
        <w:t xml:space="preserve"> v. Gonzales</w:t>
      </w:r>
      <w:r>
        <w:t xml:space="preserve">, 190 F. </w:t>
      </w:r>
      <w:proofErr w:type="spellStart"/>
      <w:r>
        <w:t>App’x</w:t>
      </w:r>
      <w:proofErr w:type="spellEnd"/>
      <w:r>
        <w:t xml:space="preserve"> 571, 572 (2d Cir. 2009) (“The Attorney General has recognized claims based on sexual orientation as falling under the ‘particular social group’ category”).</w:t>
      </w:r>
    </w:p>
  </w:footnote>
  <w:footnote w:id="80">
    <w:p w14:paraId="20A67677" w14:textId="77777777" w:rsidR="002F176D" w:rsidRDefault="002F176D">
      <w:pPr>
        <w:pStyle w:val="FootnoteText"/>
      </w:pPr>
      <w:r>
        <w:rPr>
          <w:rStyle w:val="FootnoteReference"/>
        </w:rPr>
        <w:footnoteRef/>
      </w:r>
      <w:r>
        <w:t xml:space="preserve"> </w:t>
      </w:r>
      <w:r>
        <w:tab/>
      </w:r>
      <w:proofErr w:type="gramStart"/>
      <w:r>
        <w:t>Decl. ¶ 8.</w:t>
      </w:r>
      <w:proofErr w:type="gramEnd"/>
    </w:p>
  </w:footnote>
  <w:footnote w:id="81">
    <w:p w14:paraId="2D1B88A6" w14:textId="77777777" w:rsidR="002F176D" w:rsidRDefault="002F176D">
      <w:pPr>
        <w:pStyle w:val="FootnoteText"/>
      </w:pPr>
      <w:r>
        <w:rPr>
          <w:rStyle w:val="FootnoteReference"/>
        </w:rPr>
        <w:footnoteRef/>
      </w:r>
      <w:r>
        <w:t xml:space="preserve"> </w:t>
      </w:r>
      <w:r>
        <w:tab/>
      </w:r>
      <w:r w:rsidRPr="00322409">
        <w:rPr>
          <w:i/>
        </w:rPr>
        <w:t>Id.</w:t>
      </w:r>
      <w:r>
        <w:t xml:space="preserve"> ¶¶ 9-11.</w:t>
      </w:r>
    </w:p>
  </w:footnote>
  <w:footnote w:id="82">
    <w:p w14:paraId="145624D8" w14:textId="77777777" w:rsidR="002F176D" w:rsidRDefault="002F176D" w:rsidP="00322409">
      <w:pPr>
        <w:pStyle w:val="FootnoteText"/>
      </w:pPr>
      <w:r>
        <w:rPr>
          <w:rStyle w:val="FootnoteReference"/>
        </w:rPr>
        <w:footnoteRef/>
      </w:r>
      <w:r>
        <w:t xml:space="preserve"> </w:t>
      </w:r>
      <w:r>
        <w:tab/>
      </w:r>
      <w:proofErr w:type="gramStart"/>
      <w:r w:rsidRPr="00322409">
        <w:rPr>
          <w:i/>
        </w:rPr>
        <w:t>Id.</w:t>
      </w:r>
      <w:r>
        <w:t xml:space="preserve"> ¶¶ 12, 14-16, 19-21, 27-32, 35-37, 39.</w:t>
      </w:r>
      <w:proofErr w:type="gramEnd"/>
    </w:p>
  </w:footnote>
  <w:footnote w:id="83">
    <w:p w14:paraId="47D03275" w14:textId="77777777" w:rsidR="002F176D" w:rsidRDefault="002F176D" w:rsidP="00322409">
      <w:pPr>
        <w:pStyle w:val="FootnoteText"/>
      </w:pPr>
      <w:r>
        <w:rPr>
          <w:rStyle w:val="FootnoteReference"/>
        </w:rPr>
        <w:footnoteRef/>
      </w:r>
      <w:r>
        <w:t xml:space="preserve"> </w:t>
      </w:r>
      <w:r>
        <w:tab/>
      </w:r>
      <w:proofErr w:type="gramStart"/>
      <w:r w:rsidRPr="00322409">
        <w:rPr>
          <w:i/>
        </w:rPr>
        <w:t>Id.</w:t>
      </w:r>
      <w:r>
        <w:t xml:space="preserve"> ¶¶ 22-25, 33-34, 42-44, 48-53, 57, 59, 61.</w:t>
      </w:r>
      <w:proofErr w:type="gramEnd"/>
    </w:p>
  </w:footnote>
  <w:footnote w:id="84">
    <w:p w14:paraId="192C90FE" w14:textId="77777777" w:rsidR="002F176D" w:rsidRDefault="002F176D" w:rsidP="00322409">
      <w:pPr>
        <w:pStyle w:val="FootnoteText"/>
      </w:pPr>
      <w:r>
        <w:rPr>
          <w:rStyle w:val="FootnoteReference"/>
        </w:rPr>
        <w:footnoteRef/>
      </w:r>
      <w:r>
        <w:t xml:space="preserve"> </w:t>
      </w:r>
      <w:r>
        <w:tab/>
      </w:r>
      <w:proofErr w:type="gramStart"/>
      <w:r w:rsidRPr="00322409">
        <w:rPr>
          <w:i/>
        </w:rPr>
        <w:t>Id.</w:t>
      </w:r>
      <w:r>
        <w:t xml:space="preserve"> ¶¶ 55-68, 71.</w:t>
      </w:r>
      <w:proofErr w:type="gramEnd"/>
    </w:p>
  </w:footnote>
  <w:footnote w:id="85">
    <w:p w14:paraId="5DC3159F" w14:textId="77777777" w:rsidR="002F176D" w:rsidRDefault="002F176D">
      <w:pPr>
        <w:pStyle w:val="FootnoteText"/>
      </w:pPr>
      <w:r>
        <w:rPr>
          <w:rStyle w:val="FootnoteReference"/>
        </w:rPr>
        <w:footnoteRef/>
      </w:r>
      <w:r>
        <w:t xml:space="preserve"> </w:t>
      </w:r>
      <w:r>
        <w:tab/>
      </w:r>
      <w:r w:rsidRPr="000D4347">
        <w:rPr>
          <w:i/>
        </w:rPr>
        <w:t>See</w:t>
      </w:r>
      <w:r>
        <w:t xml:space="preserve">, </w:t>
      </w:r>
      <w:r w:rsidRPr="000D4347">
        <w:rPr>
          <w:i/>
        </w:rPr>
        <w:t>e.g.</w:t>
      </w:r>
      <w:r>
        <w:t xml:space="preserve">, </w:t>
      </w:r>
      <w:r w:rsidRPr="000D4347">
        <w:rPr>
          <w:i/>
        </w:rPr>
        <w:t>Sotelo-</w:t>
      </w:r>
      <w:proofErr w:type="spellStart"/>
      <w:r w:rsidRPr="000D4347">
        <w:rPr>
          <w:i/>
        </w:rPr>
        <w:t>Aquije</w:t>
      </w:r>
      <w:proofErr w:type="spellEnd"/>
      <w:r w:rsidRPr="000D4347">
        <w:rPr>
          <w:i/>
        </w:rPr>
        <w:t xml:space="preserve"> v. Slattery</w:t>
      </w:r>
      <w:r>
        <w:t>, 17 F.3d 33, 37 (2d Cir. 1994) (“</w:t>
      </w:r>
      <w:r>
        <w:rPr>
          <w:lang w:val="en"/>
        </w:rPr>
        <w:t>the statute protects against persecution not only by government forces but also by nongovernmental groups that the gover</w:t>
      </w:r>
      <w:r>
        <w:rPr>
          <w:lang w:val="en"/>
        </w:rPr>
        <w:t>n</w:t>
      </w:r>
      <w:r>
        <w:rPr>
          <w:lang w:val="en"/>
        </w:rPr>
        <w:t>ment cannot control”).</w:t>
      </w:r>
      <w:r>
        <w:t xml:space="preserve"> </w:t>
      </w:r>
    </w:p>
  </w:footnote>
  <w:footnote w:id="86">
    <w:p w14:paraId="20215B31" w14:textId="77777777" w:rsidR="002F176D" w:rsidRDefault="002F176D">
      <w:pPr>
        <w:pStyle w:val="FootnoteText"/>
      </w:pPr>
      <w:r>
        <w:rPr>
          <w:rStyle w:val="FootnoteReference"/>
        </w:rPr>
        <w:footnoteRef/>
      </w:r>
      <w:r>
        <w:t xml:space="preserve"> </w:t>
      </w:r>
      <w:r>
        <w:tab/>
      </w:r>
      <w:proofErr w:type="gramStart"/>
      <w:r w:rsidRPr="00A020AB">
        <w:rPr>
          <w:i/>
        </w:rPr>
        <w:t>Doe v. Holder</w:t>
      </w:r>
      <w:r>
        <w:t>, 736 F.3d 871, 879 (9th Cir. 2013).</w:t>
      </w:r>
      <w:proofErr w:type="gramEnd"/>
      <w:r>
        <w:t xml:space="preserve"> </w:t>
      </w:r>
    </w:p>
  </w:footnote>
  <w:footnote w:id="87">
    <w:p w14:paraId="3AB425E4" w14:textId="77777777" w:rsidR="002F176D" w:rsidRDefault="002F176D">
      <w:pPr>
        <w:pStyle w:val="FootnoteText"/>
      </w:pPr>
      <w:r>
        <w:rPr>
          <w:rStyle w:val="FootnoteReference"/>
        </w:rPr>
        <w:footnoteRef/>
      </w:r>
      <w:r>
        <w:t xml:space="preserve"> </w:t>
      </w:r>
      <w:r>
        <w:tab/>
      </w:r>
      <w:r w:rsidRPr="00C22A3F">
        <w:rPr>
          <w:i/>
        </w:rPr>
        <w:t>Id.</w:t>
      </w:r>
      <w:r>
        <w:t xml:space="preserve"> </w:t>
      </w:r>
    </w:p>
  </w:footnote>
  <w:footnote w:id="88">
    <w:p w14:paraId="2C1E736C" w14:textId="77777777" w:rsidR="002F176D" w:rsidRDefault="002F176D">
      <w:pPr>
        <w:pStyle w:val="FootnoteText"/>
      </w:pPr>
      <w:r>
        <w:rPr>
          <w:rStyle w:val="FootnoteReference"/>
        </w:rPr>
        <w:footnoteRef/>
      </w:r>
      <w:r>
        <w:t xml:space="preserve"> </w:t>
      </w:r>
      <w:r>
        <w:tab/>
        <w:t xml:space="preserve">Decl. ¶¶ 15-16. </w:t>
      </w:r>
    </w:p>
  </w:footnote>
  <w:footnote w:id="89">
    <w:p w14:paraId="273EB6AD" w14:textId="77777777" w:rsidR="002F176D" w:rsidRDefault="002F176D">
      <w:pPr>
        <w:pStyle w:val="FootnoteText"/>
      </w:pPr>
      <w:r>
        <w:rPr>
          <w:rStyle w:val="FootnoteReference"/>
        </w:rPr>
        <w:footnoteRef/>
      </w:r>
      <w:r>
        <w:t xml:space="preserve"> </w:t>
      </w:r>
      <w:r>
        <w:tab/>
      </w:r>
      <w:r w:rsidRPr="00442890">
        <w:rPr>
          <w:i/>
        </w:rPr>
        <w:t>Id.</w:t>
      </w:r>
      <w:r>
        <w:t xml:space="preserve"> ¶¶ 18-25.</w:t>
      </w:r>
    </w:p>
  </w:footnote>
  <w:footnote w:id="90">
    <w:p w14:paraId="2BF2C66B" w14:textId="77777777" w:rsidR="002F176D" w:rsidRDefault="002F176D">
      <w:pPr>
        <w:pStyle w:val="FootnoteText"/>
      </w:pPr>
      <w:r>
        <w:rPr>
          <w:rStyle w:val="FootnoteReference"/>
        </w:rPr>
        <w:footnoteRef/>
      </w:r>
      <w:r>
        <w:t xml:space="preserve"> </w:t>
      </w:r>
      <w:r>
        <w:tab/>
      </w:r>
      <w:r w:rsidRPr="00442890">
        <w:rPr>
          <w:i/>
        </w:rPr>
        <w:t>Id.</w:t>
      </w:r>
      <w:r>
        <w:t xml:space="preserve"> ¶¶ 32-34.</w:t>
      </w:r>
    </w:p>
  </w:footnote>
  <w:footnote w:id="91">
    <w:p w14:paraId="1BB2B9DC" w14:textId="77777777" w:rsidR="002F176D" w:rsidRDefault="002F176D">
      <w:pPr>
        <w:pStyle w:val="FootnoteText"/>
      </w:pPr>
      <w:r>
        <w:rPr>
          <w:rStyle w:val="FootnoteReference"/>
        </w:rPr>
        <w:footnoteRef/>
      </w:r>
      <w:r>
        <w:t xml:space="preserve"> </w:t>
      </w:r>
      <w:r>
        <w:tab/>
      </w:r>
      <w:r w:rsidRPr="002F176D">
        <w:rPr>
          <w:i/>
        </w:rPr>
        <w:t>Id.</w:t>
      </w:r>
      <w:r>
        <w:t xml:space="preserve"> ¶¶ 42-44.</w:t>
      </w:r>
    </w:p>
  </w:footnote>
  <w:footnote w:id="92">
    <w:p w14:paraId="3290EF3C" w14:textId="77777777" w:rsidR="002F176D" w:rsidRDefault="002F176D">
      <w:pPr>
        <w:pStyle w:val="FootnoteText"/>
      </w:pPr>
      <w:r>
        <w:rPr>
          <w:rStyle w:val="FootnoteReference"/>
        </w:rPr>
        <w:footnoteRef/>
      </w:r>
      <w:r>
        <w:t xml:space="preserve"> </w:t>
      </w:r>
      <w:r>
        <w:tab/>
      </w:r>
      <w:r w:rsidRPr="002F176D">
        <w:rPr>
          <w:i/>
        </w:rPr>
        <w:t>Id.</w:t>
      </w:r>
      <w:r>
        <w:t xml:space="preserve"> ¶¶ 48-51.</w:t>
      </w:r>
    </w:p>
  </w:footnote>
  <w:footnote w:id="93">
    <w:p w14:paraId="7D36A11E" w14:textId="77777777" w:rsidR="002F176D" w:rsidRDefault="002F176D">
      <w:pPr>
        <w:pStyle w:val="FootnoteText"/>
      </w:pPr>
      <w:r>
        <w:rPr>
          <w:rStyle w:val="FootnoteReference"/>
        </w:rPr>
        <w:footnoteRef/>
      </w:r>
      <w:r>
        <w:t xml:space="preserve"> </w:t>
      </w:r>
      <w:r>
        <w:tab/>
      </w:r>
      <w:proofErr w:type="gramStart"/>
      <w:r w:rsidRPr="002F176D">
        <w:rPr>
          <w:i/>
        </w:rPr>
        <w:t>Id.</w:t>
      </w:r>
      <w:r>
        <w:t xml:space="preserve"> ¶ 57.</w:t>
      </w:r>
      <w:proofErr w:type="gramEnd"/>
    </w:p>
  </w:footnote>
  <w:footnote w:id="94">
    <w:p w14:paraId="33CFF150" w14:textId="77777777" w:rsidR="002F176D" w:rsidRDefault="002F176D">
      <w:pPr>
        <w:pStyle w:val="FootnoteText"/>
      </w:pPr>
      <w:r>
        <w:rPr>
          <w:rStyle w:val="FootnoteReference"/>
        </w:rPr>
        <w:footnoteRef/>
      </w:r>
      <w:r>
        <w:t xml:space="preserve"> </w:t>
      </w:r>
      <w:r>
        <w:tab/>
      </w:r>
      <w:proofErr w:type="gramStart"/>
      <w:r w:rsidRPr="002F176D">
        <w:rPr>
          <w:i/>
        </w:rPr>
        <w:t>Id.</w:t>
      </w:r>
      <w:r>
        <w:t xml:space="preserve"> ¶ 59.</w:t>
      </w:r>
      <w:proofErr w:type="gramEnd"/>
    </w:p>
  </w:footnote>
  <w:footnote w:id="95">
    <w:p w14:paraId="4B6955D1" w14:textId="77777777" w:rsidR="002F176D" w:rsidRDefault="002F176D">
      <w:pPr>
        <w:pStyle w:val="FootnoteText"/>
      </w:pPr>
      <w:r>
        <w:rPr>
          <w:rStyle w:val="FootnoteReference"/>
        </w:rPr>
        <w:footnoteRef/>
      </w:r>
      <w:r>
        <w:t xml:space="preserve"> </w:t>
      </w:r>
      <w:r>
        <w:tab/>
      </w:r>
      <w:r w:rsidRPr="002F176D">
        <w:rPr>
          <w:i/>
        </w:rPr>
        <w:t>Id.</w:t>
      </w:r>
      <w:r>
        <w:t xml:space="preserve"> ¶¶ 58-68.</w:t>
      </w:r>
    </w:p>
  </w:footnote>
  <w:footnote w:id="96">
    <w:p w14:paraId="230DFEE8" w14:textId="77777777" w:rsidR="00BF0A75" w:rsidRDefault="00BF0A75">
      <w:pPr>
        <w:pStyle w:val="FootnoteText"/>
      </w:pPr>
      <w:r>
        <w:rPr>
          <w:rStyle w:val="FootnoteReference"/>
        </w:rPr>
        <w:footnoteRef/>
      </w:r>
      <w:r>
        <w:t xml:space="preserve"> </w:t>
      </w:r>
      <w:r>
        <w:tab/>
        <w:t>8 C.F.R. § 208.13(b</w:t>
      </w:r>
      <w:proofErr w:type="gramStart"/>
      <w:r>
        <w:t>)(</w:t>
      </w:r>
      <w:proofErr w:type="gramEnd"/>
      <w:r>
        <w:t>1).</w:t>
      </w:r>
    </w:p>
  </w:footnote>
  <w:footnote w:id="97">
    <w:p w14:paraId="6AF8C4CC" w14:textId="77777777" w:rsidR="00987B31" w:rsidRDefault="00987B31" w:rsidP="00987B31">
      <w:pPr>
        <w:pStyle w:val="FootnoteText"/>
      </w:pPr>
      <w:r>
        <w:rPr>
          <w:rStyle w:val="FootnoteReference"/>
        </w:rPr>
        <w:footnoteRef/>
      </w:r>
      <w:r>
        <w:t xml:space="preserve"> </w:t>
      </w:r>
      <w:r>
        <w:tab/>
        <w:t>8 C.F.R. § 208.13(b</w:t>
      </w:r>
      <w:proofErr w:type="gramStart"/>
      <w:r>
        <w:t>)(</w:t>
      </w:r>
      <w:proofErr w:type="gramEnd"/>
      <w:r>
        <w:t>1)(</w:t>
      </w:r>
      <w:proofErr w:type="spellStart"/>
      <w:r>
        <w:t>i</w:t>
      </w:r>
      <w:proofErr w:type="spellEnd"/>
      <w:r>
        <w:t>)(B).</w:t>
      </w:r>
    </w:p>
  </w:footnote>
  <w:footnote w:id="98">
    <w:p w14:paraId="64A2C0FD" w14:textId="77777777" w:rsidR="00010BE1" w:rsidRDefault="00010BE1">
      <w:pPr>
        <w:pStyle w:val="FootnoteText"/>
      </w:pPr>
      <w:r>
        <w:rPr>
          <w:rStyle w:val="FootnoteReference"/>
        </w:rPr>
        <w:footnoteRef/>
      </w:r>
      <w:r>
        <w:t xml:space="preserve"> </w:t>
      </w:r>
      <w:r>
        <w:tab/>
      </w:r>
      <w:r w:rsidRPr="00F27AD4">
        <w:rPr>
          <w:i/>
        </w:rPr>
        <w:t>See</w:t>
      </w:r>
      <w:r>
        <w:t xml:space="preserve"> 2017 State Department Russia Report, at 55-56.  (Country Cond. </w:t>
      </w:r>
      <w:proofErr w:type="spellStart"/>
      <w:r>
        <w:t>Exh</w:t>
      </w:r>
      <w:proofErr w:type="spellEnd"/>
      <w:r>
        <w:t>.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B6738" w14:textId="77777777" w:rsidR="002F176D" w:rsidRDefault="002F176D">
    <w:pPr>
      <w:pStyle w:val="Header"/>
    </w:pPr>
  </w:p>
  <w:p w14:paraId="61F3CBA6" w14:textId="77777777" w:rsidR="00BE4E59" w:rsidRDefault="00BE4E59">
    <w:pPr>
      <w:pStyle w:val="Header"/>
    </w:pPr>
    <w:r>
      <w:t>X</w:t>
    </w:r>
  </w:p>
  <w:p w14:paraId="60D88641" w14:textId="77777777" w:rsidR="002F176D" w:rsidRPr="006F03E6" w:rsidRDefault="002F176D">
    <w:pPr>
      <w:pStyle w:val="Header"/>
    </w:pPr>
    <w:r>
      <w:t xml:space="preserve">Page </w:t>
    </w:r>
    <w:r>
      <w:fldChar w:fldCharType="begin"/>
    </w:r>
    <w:r>
      <w:instrText xml:space="preserve"> PAGE  \* MERGEFORMAT </w:instrText>
    </w:r>
    <w:r>
      <w:fldChar w:fldCharType="separate"/>
    </w:r>
    <w:r w:rsidR="006E17CD">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85C40"/>
    <w:multiLevelType w:val="multilevel"/>
    <w:tmpl w:val="BC50EE74"/>
    <w:styleLink w:val="FlatNumbers"/>
    <w:lvl w:ilvl="0">
      <w:start w:val="1"/>
      <w:numFmt w:val="decimal"/>
      <w:pStyle w:val="ListSinglePara"/>
      <w:lvlText w:val="%1."/>
      <w:lvlJc w:val="left"/>
      <w:pPr>
        <w:tabs>
          <w:tab w:val="num" w:pos="720"/>
        </w:tabs>
        <w:ind w:left="1080" w:hanging="360"/>
      </w:pPr>
      <w:rPr>
        <w:rFonts w:hint="default"/>
      </w:rPr>
    </w:lvl>
    <w:lvl w:ilvl="1">
      <w:start w:val="1"/>
      <w:numFmt w:val="decimal"/>
      <w:lvlRestart w:val="0"/>
      <w:pStyle w:val="ListDoublePara"/>
      <w:lvlText w:val="%2."/>
      <w:lvlJc w:val="left"/>
      <w:pPr>
        <w:ind w:left="0" w:firstLine="720"/>
      </w:pPr>
      <w:rPr>
        <w:rFonts w:hint="default"/>
      </w:rPr>
    </w:lvl>
    <w:lvl w:ilvl="2">
      <w:start w:val="1"/>
      <w:numFmt w:val="lowerLetter"/>
      <w:lvlRestart w:val="0"/>
      <w:pStyle w:val="abc"/>
      <w:lvlText w:val="(%3)"/>
      <w:lvlJc w:val="left"/>
      <w:pPr>
        <w:ind w:left="0" w:firstLine="720"/>
      </w:pPr>
      <w:rPr>
        <w:rFonts w:hint="default"/>
      </w:rPr>
    </w:lvl>
    <w:lvl w:ilvl="3">
      <w:start w:val="1"/>
      <w:numFmt w:val="lowerRoman"/>
      <w:lvlRestart w:val="0"/>
      <w:pStyle w:val="iiiiii"/>
      <w:lvlText w:val="(%4)"/>
      <w:lvlJc w:val="left"/>
      <w:pPr>
        <w:ind w:left="0" w:firstLine="720"/>
      </w:pPr>
      <w:rPr>
        <w:rFonts w:hint="default"/>
      </w:rPr>
    </w:lvl>
    <w:lvl w:ilvl="4">
      <w:start w:val="1"/>
      <w:numFmt w:val="ordinalText"/>
      <w:lvlRestart w:val="0"/>
      <w:pStyle w:val="OrdinalPara"/>
      <w:suff w:val="space"/>
      <w:lvlText w:val="%5,"/>
      <w:lvlJc w:val="left"/>
      <w:pPr>
        <w:ind w:left="0" w:firstLine="720"/>
      </w:pPr>
      <w:rPr>
        <w:rFonts w:hint="default"/>
      </w:rPr>
    </w:lvl>
    <w:lvl w:ilvl="5">
      <w:start w:val="1"/>
      <w:numFmt w:val="none"/>
      <w:lvlRestart w:val="0"/>
      <w:pStyle w:val="Question"/>
      <w:lvlText w:val="Q:"/>
      <w:lvlJc w:val="left"/>
      <w:pPr>
        <w:ind w:left="1440" w:hanging="720"/>
      </w:pPr>
      <w:rPr>
        <w:rFonts w:hint="default"/>
      </w:rPr>
    </w:lvl>
    <w:lvl w:ilvl="6">
      <w:start w:val="1"/>
      <w:numFmt w:val="none"/>
      <w:lvlRestart w:val="0"/>
      <w:pStyle w:val="Answer"/>
      <w:lvlText w:val="A:"/>
      <w:lvlJc w:val="left"/>
      <w:pPr>
        <w:ind w:left="1440" w:hanging="720"/>
      </w:pPr>
      <w:rPr>
        <w:rFonts w:hint="default"/>
      </w:rPr>
    </w:lvl>
    <w:lvl w:ilvl="7">
      <w:start w:val="1"/>
      <w:numFmt w:val="decimal"/>
      <w:lvlRestart w:val="0"/>
      <w:pStyle w:val="Parties"/>
      <w:lvlText w:val="(%8)"/>
      <w:lvlJc w:val="left"/>
      <w:pPr>
        <w:ind w:left="720" w:hanging="720"/>
      </w:pPr>
      <w:rPr>
        <w:rFonts w:hint="default"/>
        <w:b/>
        <w:i w:val="0"/>
      </w:rPr>
    </w:lvl>
    <w:lvl w:ilvl="8">
      <w:start w:val="1"/>
      <w:numFmt w:val="upperLetter"/>
      <w:lvlRestart w:val="0"/>
      <w:pStyle w:val="Recitals"/>
      <w:lvlText w:val="(%9)"/>
      <w:lvlJc w:val="left"/>
      <w:pPr>
        <w:ind w:left="720" w:hanging="720"/>
      </w:pPr>
      <w:rPr>
        <w:rFonts w:hint="default"/>
        <w:b/>
        <w:i w:val="0"/>
      </w:rPr>
    </w:lvl>
  </w:abstractNum>
  <w:abstractNum w:abstractNumId="1">
    <w:nsid w:val="38165DEB"/>
    <w:multiLevelType w:val="multilevel"/>
    <w:tmpl w:val="B010047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1800"/>
        </w:tabs>
        <w:ind w:left="1440" w:hanging="360"/>
      </w:pPr>
      <w:rPr>
        <w:rFonts w:hint="default"/>
      </w:rPr>
    </w:lvl>
    <w:lvl w:ilvl="4">
      <w:start w:val="1"/>
      <w:numFmt w:val="lowerLetter"/>
      <w:lvlText w:val="(%5)"/>
      <w:lvlJc w:val="left"/>
      <w:pPr>
        <w:tabs>
          <w:tab w:val="num" w:pos="2160"/>
        </w:tabs>
        <w:ind w:left="1800" w:hanging="360"/>
      </w:pPr>
      <w:rPr>
        <w:rFonts w:hint="default"/>
      </w:rPr>
    </w:lvl>
    <w:lvl w:ilvl="5">
      <w:start w:val="1"/>
      <w:numFmt w:val="lowerRoman"/>
      <w:lvlText w:val="(%6)"/>
      <w:lvlJc w:val="left"/>
      <w:pPr>
        <w:tabs>
          <w:tab w:val="num" w:pos="288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nsid w:val="407F7B10"/>
    <w:multiLevelType w:val="hybridMultilevel"/>
    <w:tmpl w:val="743CB2FC"/>
    <w:lvl w:ilvl="0" w:tplc="64C2F1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33A4B6A"/>
    <w:multiLevelType w:val="multilevel"/>
    <w:tmpl w:val="E0C4649A"/>
    <w:styleLink w:val="ShortOutlineList"/>
    <w:lvl w:ilvl="0">
      <w:start w:val="1"/>
      <w:numFmt w:val="decimal"/>
      <w:pStyle w:val="ShortOutline1"/>
      <w:lvlText w:val="%1."/>
      <w:lvlJc w:val="left"/>
      <w:pPr>
        <w:ind w:left="720" w:hanging="720"/>
      </w:pPr>
      <w:rPr>
        <w:rFonts w:hint="default"/>
        <w:color w:val="000000"/>
      </w:rPr>
    </w:lvl>
    <w:lvl w:ilvl="1">
      <w:start w:val="1"/>
      <w:numFmt w:val="lowerLetter"/>
      <w:pStyle w:val="ShortOutline2"/>
      <w:lvlText w:val="(%2)"/>
      <w:lvlJc w:val="left"/>
      <w:pPr>
        <w:ind w:left="1440" w:hanging="720"/>
      </w:pPr>
      <w:rPr>
        <w:rFonts w:hint="default"/>
        <w:color w:val="000000"/>
      </w:rPr>
    </w:lvl>
    <w:lvl w:ilvl="2">
      <w:start w:val="1"/>
      <w:numFmt w:val="lowerRoman"/>
      <w:pStyle w:val="ShortOutline3"/>
      <w:lvlText w:val="(%3)"/>
      <w:lvlJc w:val="left"/>
      <w:pPr>
        <w:ind w:left="2160" w:hanging="720"/>
      </w:pPr>
      <w:rPr>
        <w:rFonts w:hint="default"/>
        <w:color w:val="000000"/>
      </w:rPr>
    </w:lvl>
    <w:lvl w:ilvl="3">
      <w:start w:val="1"/>
      <w:numFmt w:val="decimal"/>
      <w:pStyle w:val="ShortOutline4"/>
      <w:lvlText w:val="(%4)"/>
      <w:lvlJc w:val="left"/>
      <w:pPr>
        <w:ind w:left="2880" w:hanging="720"/>
      </w:pPr>
      <w:rPr>
        <w:rFonts w:hint="default"/>
        <w:color w:val="000000"/>
      </w:rPr>
    </w:lvl>
    <w:lvl w:ilvl="4">
      <w:start w:val="1"/>
      <w:numFmt w:val="lowerLetter"/>
      <w:pStyle w:val="ShortOutline5"/>
      <w:lvlText w:val="(%5)"/>
      <w:lvlJc w:val="left"/>
      <w:pPr>
        <w:ind w:left="3600" w:hanging="720"/>
      </w:pPr>
      <w:rPr>
        <w:rFonts w:hint="default"/>
        <w:color w:val="000000"/>
      </w:rPr>
    </w:lvl>
    <w:lvl w:ilvl="5">
      <w:start w:val="1"/>
      <w:numFmt w:val="none"/>
      <w:lvlText w:val=""/>
      <w:lvlJc w:val="left"/>
      <w:pPr>
        <w:tabs>
          <w:tab w:val="num" w:pos="5040"/>
        </w:tabs>
        <w:ind w:left="4320" w:hanging="720"/>
      </w:pPr>
      <w:rPr>
        <w:rFonts w:hint="default"/>
      </w:rPr>
    </w:lvl>
    <w:lvl w:ilvl="6">
      <w:start w:val="1"/>
      <w:numFmt w:val="none"/>
      <w:lvlText w:val=""/>
      <w:lvlJc w:val="left"/>
      <w:pPr>
        <w:tabs>
          <w:tab w:val="num" w:pos="5760"/>
        </w:tabs>
        <w:ind w:left="5040" w:hanging="720"/>
      </w:pPr>
      <w:rPr>
        <w:rFonts w:hint="default"/>
      </w:rPr>
    </w:lvl>
    <w:lvl w:ilvl="7">
      <w:start w:val="1"/>
      <w:numFmt w:val="none"/>
      <w:lvlText w:val=""/>
      <w:lvlJc w:val="left"/>
      <w:pPr>
        <w:tabs>
          <w:tab w:val="num" w:pos="6480"/>
        </w:tabs>
        <w:ind w:left="5760" w:hanging="720"/>
      </w:pPr>
      <w:rPr>
        <w:rFonts w:hint="default"/>
      </w:rPr>
    </w:lvl>
    <w:lvl w:ilvl="8">
      <w:start w:val="1"/>
      <w:numFmt w:val="none"/>
      <w:lvlText w:val=""/>
      <w:lvlJc w:val="left"/>
      <w:pPr>
        <w:tabs>
          <w:tab w:val="num" w:pos="7200"/>
        </w:tabs>
        <w:ind w:left="6480" w:hanging="720"/>
      </w:pPr>
      <w:rPr>
        <w:rFonts w:hint="default"/>
      </w:rPr>
    </w:lvl>
  </w:abstractNum>
  <w:abstractNum w:abstractNumId="4">
    <w:nsid w:val="566D6D72"/>
    <w:multiLevelType w:val="multilevel"/>
    <w:tmpl w:val="265E3A9A"/>
    <w:styleLink w:val="FlatBullets"/>
    <w:lvl w:ilvl="0">
      <w:start w:val="1"/>
      <w:numFmt w:val="bullet"/>
      <w:pStyle w:val="BulletPara"/>
      <w:lvlText w:val=""/>
      <w:lvlJc w:val="left"/>
      <w:pPr>
        <w:ind w:left="1080" w:hanging="360"/>
      </w:pPr>
      <w:rPr>
        <w:rFonts w:ascii="Symbol" w:hAnsi="Symbol" w:hint="default"/>
      </w:rPr>
    </w:lvl>
    <w:lvl w:ilvl="1">
      <w:start w:val="1"/>
      <w:numFmt w:val="bullet"/>
      <w:lvlRestart w:val="0"/>
      <w:pStyle w:val="BulletPara2"/>
      <w:lvlText w:val=""/>
      <w:lvlJc w:val="left"/>
      <w:pPr>
        <w:ind w:left="1440" w:hanging="360"/>
      </w:pPr>
      <w:rPr>
        <w:rFonts w:ascii="Symbol" w:hAnsi="Symbol" w:hint="default"/>
      </w:rPr>
    </w:lvl>
    <w:lvl w:ilvl="2">
      <w:start w:val="1"/>
      <w:numFmt w:val="bullet"/>
      <w:lvlRestart w:val="0"/>
      <w:pStyle w:val="BulletParaAlt"/>
      <w:lvlText w:val="▪"/>
      <w:lvlJc w:val="left"/>
      <w:pPr>
        <w:ind w:left="1080" w:hanging="360"/>
      </w:pPr>
      <w:rPr>
        <w:rFonts w:ascii="Calibri" w:hAnsi="Calibri" w:hint="default"/>
        <w:color w:val="auto"/>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b/>
        <w:i w:val="0"/>
      </w:rPr>
    </w:lvl>
    <w:lvl w:ilvl="5">
      <w:start w:val="1"/>
      <w:numFmt w:val="none"/>
      <w:lvlRestart w:val="0"/>
      <w:suff w:val="nothing"/>
      <w:lvlText w:val=""/>
      <w:lvlJc w:val="left"/>
      <w:pPr>
        <w:ind w:left="0" w:firstLine="0"/>
      </w:pPr>
      <w:rPr>
        <w:rFonts w:hint="default"/>
        <w:b/>
        <w:i w:val="0"/>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color w:val="auto"/>
      </w:rPr>
    </w:lvl>
    <w:lvl w:ilvl="8">
      <w:start w:val="1"/>
      <w:numFmt w:val="none"/>
      <w:lvlRestart w:val="0"/>
      <w:suff w:val="nothing"/>
      <w:lvlText w:val="%9"/>
      <w:lvlJc w:val="left"/>
      <w:pPr>
        <w:ind w:left="0" w:firstLine="0"/>
      </w:pPr>
      <w:rPr>
        <w:rFonts w:hint="default"/>
      </w:rPr>
    </w:lvl>
  </w:abstractNum>
  <w:abstractNum w:abstractNumId="5">
    <w:nsid w:val="5CA57841"/>
    <w:multiLevelType w:val="multilevel"/>
    <w:tmpl w:val="DF8C7B88"/>
    <w:styleLink w:val="TableFootnotes"/>
    <w:lvl w:ilvl="0">
      <w:start w:val="1"/>
      <w:numFmt w:val="none"/>
      <w:pStyle w:val="TableFootnoteLine"/>
      <w:suff w:val="nothing"/>
      <w:lvlText w:val=""/>
      <w:lvlJc w:val="left"/>
      <w:pPr>
        <w:ind w:left="0" w:firstLine="0"/>
      </w:pPr>
      <w:rPr>
        <w:rFonts w:hint="default"/>
        <w:u w:val="none"/>
      </w:rPr>
    </w:lvl>
    <w:lvl w:ilvl="1">
      <w:start w:val="1"/>
      <w:numFmt w:val="decimal"/>
      <w:pStyle w:val="TableFootnote"/>
      <w:lvlText w:val="(%2)"/>
      <w:lvlJc w:val="left"/>
      <w:pPr>
        <w:ind w:left="360" w:hanging="360"/>
      </w:pPr>
      <w:rPr>
        <w:rFonts w:hint="default"/>
      </w:rPr>
    </w:lvl>
    <w:lvl w:ilvl="2">
      <w:start w:val="1"/>
      <w:numFmt w:val="none"/>
      <w:lvlText w:val=""/>
      <w:lvlJc w:val="left"/>
      <w:pPr>
        <w:ind w:left="360" w:hanging="360"/>
      </w:pPr>
      <w:rPr>
        <w:rFonts w:hint="default"/>
      </w:rPr>
    </w:lvl>
    <w:lvl w:ilvl="3">
      <w:start w:val="1"/>
      <w:numFmt w:val="none"/>
      <w:lvlText w:val=""/>
      <w:lvlJc w:val="left"/>
      <w:pPr>
        <w:ind w:left="360" w:hanging="360"/>
      </w:pPr>
      <w:rPr>
        <w:rFonts w:hint="default"/>
      </w:rPr>
    </w:lvl>
    <w:lvl w:ilvl="4">
      <w:start w:val="1"/>
      <w:numFmt w:val="none"/>
      <w:lvlText w:val=""/>
      <w:lvlJc w:val="left"/>
      <w:pPr>
        <w:ind w:left="360" w:hanging="360"/>
      </w:pPr>
      <w:rPr>
        <w:rFonts w:hint="default"/>
      </w:rPr>
    </w:lvl>
    <w:lvl w:ilvl="5">
      <w:start w:val="1"/>
      <w:numFmt w:val="none"/>
      <w:lvlText w:val=""/>
      <w:lvlJc w:val="left"/>
      <w:pPr>
        <w:ind w:left="360" w:hanging="360"/>
      </w:pPr>
      <w:rPr>
        <w:rFonts w:hint="default"/>
      </w:rPr>
    </w:lvl>
    <w:lvl w:ilvl="6">
      <w:start w:val="1"/>
      <w:numFmt w:val="none"/>
      <w:lvlText w:val=""/>
      <w:lvlJc w:val="left"/>
      <w:pPr>
        <w:ind w:left="360" w:hanging="360"/>
      </w:pPr>
      <w:rPr>
        <w:rFonts w:hint="default"/>
      </w:rPr>
    </w:lvl>
    <w:lvl w:ilvl="7">
      <w:start w:val="1"/>
      <w:numFmt w:val="none"/>
      <w:lvlText w:val=""/>
      <w:lvlJc w:val="left"/>
      <w:pPr>
        <w:ind w:left="360" w:hanging="360"/>
      </w:pPr>
      <w:rPr>
        <w:rFonts w:hint="default"/>
      </w:rPr>
    </w:lvl>
    <w:lvl w:ilvl="8">
      <w:start w:val="1"/>
      <w:numFmt w:val="none"/>
      <w:lvlText w:val=""/>
      <w:lvlJc w:val="left"/>
      <w:pPr>
        <w:ind w:left="360" w:hanging="360"/>
      </w:pPr>
      <w:rPr>
        <w:rFonts w:hint="default"/>
      </w:rPr>
    </w:lvl>
  </w:abstractNum>
  <w:abstractNum w:abstractNumId="6">
    <w:nsid w:val="63A922CE"/>
    <w:multiLevelType w:val="multilevel"/>
    <w:tmpl w:val="B344AA06"/>
    <w:name w:val="ShortOutlineListTemplate"/>
    <w:styleLink w:val="ShortOutlineList0"/>
    <w:lvl w:ilvl="0">
      <w:start w:val="1"/>
      <w:numFmt w:val="decimal"/>
      <w:lvlText w:val="%1."/>
      <w:lvlJc w:val="left"/>
      <w:pPr>
        <w:tabs>
          <w:tab w:val="num" w:pos="720"/>
        </w:tabs>
        <w:ind w:left="720" w:hanging="720"/>
      </w:pPr>
      <w:rPr>
        <w:color w:val="000000"/>
      </w:rPr>
    </w:lvl>
    <w:lvl w:ilvl="1">
      <w:start w:val="1"/>
      <w:numFmt w:val="lowerLetter"/>
      <w:lvlText w:val="(%2)"/>
      <w:lvlJc w:val="left"/>
      <w:pPr>
        <w:tabs>
          <w:tab w:val="num" w:pos="1440"/>
        </w:tabs>
        <w:ind w:left="1440" w:hanging="720"/>
      </w:pPr>
      <w:rPr>
        <w:color w:val="000000"/>
      </w:rPr>
    </w:lvl>
    <w:lvl w:ilvl="2">
      <w:start w:val="1"/>
      <w:numFmt w:val="lowerRoman"/>
      <w:lvlText w:val="(%3)"/>
      <w:lvlJc w:val="left"/>
      <w:pPr>
        <w:tabs>
          <w:tab w:val="num" w:pos="2160"/>
        </w:tabs>
        <w:ind w:left="2160" w:hanging="720"/>
      </w:pPr>
      <w:rPr>
        <w:color w:val="000000"/>
      </w:rPr>
    </w:lvl>
    <w:lvl w:ilvl="3">
      <w:start w:val="1"/>
      <w:numFmt w:val="decimal"/>
      <w:lvlText w:val="(%4)"/>
      <w:lvlJc w:val="left"/>
      <w:pPr>
        <w:tabs>
          <w:tab w:val="num" w:pos="2880"/>
        </w:tabs>
        <w:ind w:left="2880" w:hanging="720"/>
      </w:pPr>
      <w:rPr>
        <w:color w:val="000000"/>
      </w:rPr>
    </w:lvl>
    <w:lvl w:ilvl="4">
      <w:start w:val="1"/>
      <w:numFmt w:val="upperLetter"/>
      <w:lvlText w:val="(%5)"/>
      <w:lvlJc w:val="left"/>
      <w:pPr>
        <w:tabs>
          <w:tab w:val="num" w:pos="3600"/>
        </w:tabs>
        <w:ind w:left="3600" w:hanging="720"/>
      </w:pPr>
      <w:rPr>
        <w:color w:val="000000"/>
      </w:r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0"/>
  </w:num>
  <w:num w:numId="2">
    <w:abstractNumId w:val="0"/>
  </w:num>
  <w:num w:numId="3">
    <w:abstractNumId w:val="0"/>
  </w:num>
  <w:num w:numId="4">
    <w:abstractNumId w:val="4"/>
  </w:num>
  <w:num w:numId="5">
    <w:abstractNumId w:val="4"/>
  </w:num>
  <w:num w:numId="6">
    <w:abstractNumId w:val="4"/>
  </w:num>
  <w:num w:numId="7">
    <w:abstractNumId w:val="4"/>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3"/>
  </w:num>
  <w:num w:numId="16">
    <w:abstractNumId w:val="3"/>
  </w:num>
  <w:num w:numId="17">
    <w:abstractNumId w:val="3"/>
  </w:num>
  <w:num w:numId="18">
    <w:abstractNumId w:val="3"/>
  </w:num>
  <w:num w:numId="19">
    <w:abstractNumId w:val="3"/>
  </w:num>
  <w:num w:numId="20">
    <w:abstractNumId w:val="3"/>
  </w:num>
  <w:num w:numId="21">
    <w:abstractNumId w:val="5"/>
  </w:num>
  <w:num w:numId="22">
    <w:abstractNumId w:val="5"/>
  </w:num>
  <w:num w:numId="23">
    <w:abstractNumId w:val="5"/>
  </w:num>
  <w:num w:numId="24">
    <w:abstractNumId w:val="1"/>
  </w:num>
  <w:num w:numId="25">
    <w:abstractNumId w:val="2"/>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SortMethod w:val="00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3E6"/>
    <w:rsid w:val="00010BE1"/>
    <w:rsid w:val="00020F1D"/>
    <w:rsid w:val="00022285"/>
    <w:rsid w:val="00032139"/>
    <w:rsid w:val="00034A1E"/>
    <w:rsid w:val="000471BC"/>
    <w:rsid w:val="00051F50"/>
    <w:rsid w:val="00054CC8"/>
    <w:rsid w:val="00066E0D"/>
    <w:rsid w:val="00071BB2"/>
    <w:rsid w:val="00076A90"/>
    <w:rsid w:val="00082F74"/>
    <w:rsid w:val="000B0BC3"/>
    <w:rsid w:val="000B6558"/>
    <w:rsid w:val="000D4347"/>
    <w:rsid w:val="000F0219"/>
    <w:rsid w:val="001022D6"/>
    <w:rsid w:val="00103852"/>
    <w:rsid w:val="00127602"/>
    <w:rsid w:val="00135D8F"/>
    <w:rsid w:val="00152A7F"/>
    <w:rsid w:val="00161E3D"/>
    <w:rsid w:val="00162B44"/>
    <w:rsid w:val="00174AEE"/>
    <w:rsid w:val="00177BA4"/>
    <w:rsid w:val="00185921"/>
    <w:rsid w:val="00186BE6"/>
    <w:rsid w:val="001D7FF7"/>
    <w:rsid w:val="00210068"/>
    <w:rsid w:val="00212BA9"/>
    <w:rsid w:val="002339F8"/>
    <w:rsid w:val="00264CD6"/>
    <w:rsid w:val="00267F19"/>
    <w:rsid w:val="0028330B"/>
    <w:rsid w:val="002E07B9"/>
    <w:rsid w:val="002F176D"/>
    <w:rsid w:val="002F5ABD"/>
    <w:rsid w:val="00305C25"/>
    <w:rsid w:val="00322409"/>
    <w:rsid w:val="0033733E"/>
    <w:rsid w:val="0035519E"/>
    <w:rsid w:val="00384505"/>
    <w:rsid w:val="003947C6"/>
    <w:rsid w:val="00395E1A"/>
    <w:rsid w:val="003A242F"/>
    <w:rsid w:val="003A2DC7"/>
    <w:rsid w:val="003B1D0A"/>
    <w:rsid w:val="003E56AD"/>
    <w:rsid w:val="003F15E4"/>
    <w:rsid w:val="00400390"/>
    <w:rsid w:val="004020B4"/>
    <w:rsid w:val="00403FF3"/>
    <w:rsid w:val="004109FB"/>
    <w:rsid w:val="004239A2"/>
    <w:rsid w:val="00442890"/>
    <w:rsid w:val="004A6D38"/>
    <w:rsid w:val="004B130C"/>
    <w:rsid w:val="004C0FC3"/>
    <w:rsid w:val="004D19C8"/>
    <w:rsid w:val="004D50E1"/>
    <w:rsid w:val="004E1465"/>
    <w:rsid w:val="00534B72"/>
    <w:rsid w:val="0054713E"/>
    <w:rsid w:val="00556D41"/>
    <w:rsid w:val="005824BD"/>
    <w:rsid w:val="00590581"/>
    <w:rsid w:val="00594D7D"/>
    <w:rsid w:val="005C53EF"/>
    <w:rsid w:val="005D0E51"/>
    <w:rsid w:val="005D2715"/>
    <w:rsid w:val="005E4AC8"/>
    <w:rsid w:val="005F0CB9"/>
    <w:rsid w:val="00603568"/>
    <w:rsid w:val="00610A86"/>
    <w:rsid w:val="0062382B"/>
    <w:rsid w:val="0064479D"/>
    <w:rsid w:val="00645C62"/>
    <w:rsid w:val="00647397"/>
    <w:rsid w:val="00656E14"/>
    <w:rsid w:val="00676440"/>
    <w:rsid w:val="006B02F2"/>
    <w:rsid w:val="006D49CD"/>
    <w:rsid w:val="006D692A"/>
    <w:rsid w:val="006E17CD"/>
    <w:rsid w:val="006F03E6"/>
    <w:rsid w:val="00703A7C"/>
    <w:rsid w:val="007239E4"/>
    <w:rsid w:val="0074723E"/>
    <w:rsid w:val="00754E3B"/>
    <w:rsid w:val="0075528D"/>
    <w:rsid w:val="0076158B"/>
    <w:rsid w:val="00773AC8"/>
    <w:rsid w:val="00776243"/>
    <w:rsid w:val="007D3ED9"/>
    <w:rsid w:val="00811BB3"/>
    <w:rsid w:val="00823092"/>
    <w:rsid w:val="008313FB"/>
    <w:rsid w:val="00833A16"/>
    <w:rsid w:val="00837996"/>
    <w:rsid w:val="008431F7"/>
    <w:rsid w:val="008651E4"/>
    <w:rsid w:val="00876514"/>
    <w:rsid w:val="00880698"/>
    <w:rsid w:val="0089455F"/>
    <w:rsid w:val="008A3436"/>
    <w:rsid w:val="008A481F"/>
    <w:rsid w:val="008B0AEC"/>
    <w:rsid w:val="008B7665"/>
    <w:rsid w:val="008D414F"/>
    <w:rsid w:val="008D4C38"/>
    <w:rsid w:val="008E1816"/>
    <w:rsid w:val="008F5145"/>
    <w:rsid w:val="008F68F4"/>
    <w:rsid w:val="0091446C"/>
    <w:rsid w:val="00922DEE"/>
    <w:rsid w:val="009234B4"/>
    <w:rsid w:val="00937B94"/>
    <w:rsid w:val="00961C43"/>
    <w:rsid w:val="00972FB7"/>
    <w:rsid w:val="00975CCA"/>
    <w:rsid w:val="00987B31"/>
    <w:rsid w:val="009B07B8"/>
    <w:rsid w:val="009B7BAE"/>
    <w:rsid w:val="009C3BE2"/>
    <w:rsid w:val="00A020AB"/>
    <w:rsid w:val="00A20AE4"/>
    <w:rsid w:val="00A26900"/>
    <w:rsid w:val="00A355CA"/>
    <w:rsid w:val="00A63BE2"/>
    <w:rsid w:val="00A858D8"/>
    <w:rsid w:val="00A912EB"/>
    <w:rsid w:val="00A94960"/>
    <w:rsid w:val="00AA6E46"/>
    <w:rsid w:val="00AB1B04"/>
    <w:rsid w:val="00AC031B"/>
    <w:rsid w:val="00AC747F"/>
    <w:rsid w:val="00AD6234"/>
    <w:rsid w:val="00AE2825"/>
    <w:rsid w:val="00AF190D"/>
    <w:rsid w:val="00AF3670"/>
    <w:rsid w:val="00B1306A"/>
    <w:rsid w:val="00B20323"/>
    <w:rsid w:val="00B22E99"/>
    <w:rsid w:val="00B42D95"/>
    <w:rsid w:val="00B623B1"/>
    <w:rsid w:val="00B62AF0"/>
    <w:rsid w:val="00B67BF9"/>
    <w:rsid w:val="00B7304D"/>
    <w:rsid w:val="00B974F4"/>
    <w:rsid w:val="00BC1BF6"/>
    <w:rsid w:val="00BC2F39"/>
    <w:rsid w:val="00BD1EAD"/>
    <w:rsid w:val="00BD57F3"/>
    <w:rsid w:val="00BE4E59"/>
    <w:rsid w:val="00BF0A75"/>
    <w:rsid w:val="00BF7C26"/>
    <w:rsid w:val="00C174C2"/>
    <w:rsid w:val="00C21369"/>
    <w:rsid w:val="00C21B72"/>
    <w:rsid w:val="00C22A3F"/>
    <w:rsid w:val="00C3460A"/>
    <w:rsid w:val="00C36AAB"/>
    <w:rsid w:val="00C41AEC"/>
    <w:rsid w:val="00C44335"/>
    <w:rsid w:val="00C659B4"/>
    <w:rsid w:val="00C6727F"/>
    <w:rsid w:val="00C73C61"/>
    <w:rsid w:val="00C75FCE"/>
    <w:rsid w:val="00CB5FBD"/>
    <w:rsid w:val="00CD0189"/>
    <w:rsid w:val="00D05538"/>
    <w:rsid w:val="00D110F2"/>
    <w:rsid w:val="00D23D80"/>
    <w:rsid w:val="00D41591"/>
    <w:rsid w:val="00D6015C"/>
    <w:rsid w:val="00D75C9D"/>
    <w:rsid w:val="00D93EE4"/>
    <w:rsid w:val="00DA25F0"/>
    <w:rsid w:val="00DB5E01"/>
    <w:rsid w:val="00DD7ED0"/>
    <w:rsid w:val="00DF07BE"/>
    <w:rsid w:val="00DF4DBD"/>
    <w:rsid w:val="00E230FB"/>
    <w:rsid w:val="00E237F6"/>
    <w:rsid w:val="00E322A9"/>
    <w:rsid w:val="00E37B12"/>
    <w:rsid w:val="00E70E95"/>
    <w:rsid w:val="00E75844"/>
    <w:rsid w:val="00E80011"/>
    <w:rsid w:val="00E865BC"/>
    <w:rsid w:val="00E952F2"/>
    <w:rsid w:val="00EA0858"/>
    <w:rsid w:val="00EB4D8F"/>
    <w:rsid w:val="00EC12A7"/>
    <w:rsid w:val="00ED0070"/>
    <w:rsid w:val="00EF5934"/>
    <w:rsid w:val="00F03723"/>
    <w:rsid w:val="00F077EB"/>
    <w:rsid w:val="00F11D07"/>
    <w:rsid w:val="00F2368B"/>
    <w:rsid w:val="00F27AD4"/>
    <w:rsid w:val="00F3462B"/>
    <w:rsid w:val="00F43D66"/>
    <w:rsid w:val="00F60AE9"/>
    <w:rsid w:val="00F6131C"/>
    <w:rsid w:val="00F6524C"/>
    <w:rsid w:val="00F67369"/>
    <w:rsid w:val="00F80495"/>
    <w:rsid w:val="00F8761E"/>
    <w:rsid w:val="00F9121C"/>
    <w:rsid w:val="00F9298D"/>
    <w:rsid w:val="00FE4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0F5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envelope address" w:uiPriority="0"/>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139"/>
    <w:pPr>
      <w:spacing w:after="0" w:line="240" w:lineRule="auto"/>
    </w:pPr>
    <w:rPr>
      <w:rFonts w:ascii="Times New Roman" w:eastAsia="SimSun" w:hAnsi="Times New Roman" w:cs="Times New Roman"/>
      <w:sz w:val="24"/>
      <w:szCs w:val="24"/>
      <w:lang w:eastAsia="zh-CN" w:bidi="he-IL"/>
    </w:rPr>
  </w:style>
  <w:style w:type="paragraph" w:styleId="Heading1">
    <w:name w:val="heading 1"/>
    <w:basedOn w:val="Normal"/>
    <w:next w:val="Normal"/>
    <w:link w:val="Heading1Char"/>
    <w:uiPriority w:val="19"/>
    <w:unhideWhenUsed/>
    <w:rsid w:val="00C672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9"/>
    <w:unhideWhenUsed/>
    <w:rsid w:val="00C6727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
    <w:name w:val="(a)(b)(c)"/>
    <w:basedOn w:val="Normal"/>
    <w:uiPriority w:val="4"/>
    <w:rsid w:val="00C6727F"/>
    <w:pPr>
      <w:numPr>
        <w:ilvl w:val="2"/>
        <w:numId w:val="14"/>
      </w:numPr>
      <w:spacing w:before="240" w:after="240"/>
    </w:pPr>
  </w:style>
  <w:style w:type="paragraph" w:customStyle="1" w:styleId="iiiiii">
    <w:name w:val="(i)(ii)(iii)"/>
    <w:basedOn w:val="Normal"/>
    <w:uiPriority w:val="4"/>
    <w:rsid w:val="00C6727F"/>
    <w:pPr>
      <w:numPr>
        <w:ilvl w:val="3"/>
        <w:numId w:val="14"/>
      </w:numPr>
      <w:spacing w:before="240" w:after="240"/>
    </w:pPr>
  </w:style>
  <w:style w:type="paragraph" w:customStyle="1" w:styleId="Answer">
    <w:name w:val="Answer"/>
    <w:aliases w:val="an"/>
    <w:basedOn w:val="Normal"/>
    <w:next w:val="Normal"/>
    <w:uiPriority w:val="4"/>
    <w:rsid w:val="00C6727F"/>
    <w:pPr>
      <w:numPr>
        <w:ilvl w:val="6"/>
        <w:numId w:val="14"/>
      </w:numPr>
      <w:spacing w:before="240"/>
    </w:pPr>
  </w:style>
  <w:style w:type="paragraph" w:styleId="BalloonText">
    <w:name w:val="Balloon Text"/>
    <w:basedOn w:val="Normal"/>
    <w:link w:val="BalloonTextChar"/>
    <w:uiPriority w:val="99"/>
    <w:semiHidden/>
    <w:unhideWhenUsed/>
    <w:rsid w:val="00C6727F"/>
    <w:rPr>
      <w:rFonts w:ascii="Tahoma" w:hAnsi="Tahoma" w:cs="Tahoma"/>
      <w:sz w:val="16"/>
      <w:szCs w:val="16"/>
    </w:rPr>
  </w:style>
  <w:style w:type="character" w:customStyle="1" w:styleId="BalloonTextChar">
    <w:name w:val="Balloon Text Char"/>
    <w:basedOn w:val="DefaultParagraphFont"/>
    <w:link w:val="BalloonText"/>
    <w:uiPriority w:val="99"/>
    <w:semiHidden/>
    <w:rsid w:val="00C6727F"/>
    <w:rPr>
      <w:rFonts w:ascii="Tahoma" w:eastAsiaTheme="minorEastAsia" w:hAnsi="Tahoma" w:cs="Tahoma"/>
      <w:sz w:val="16"/>
      <w:szCs w:val="16"/>
      <w:lang w:eastAsia="zh-CN"/>
    </w:rPr>
  </w:style>
  <w:style w:type="table" w:customStyle="1" w:styleId="BandedTable">
    <w:name w:val="Banded Table"/>
    <w:basedOn w:val="TableNormal"/>
    <w:uiPriority w:val="99"/>
    <w:rsid w:val="00C6727F"/>
    <w:pPr>
      <w:spacing w:after="0" w:line="240" w:lineRule="auto"/>
    </w:pPr>
    <w:rPr>
      <w:rFonts w:eastAsiaTheme="minorEastAsia"/>
      <w:sz w:val="24"/>
      <w:szCs w:val="24"/>
      <w:lang w:eastAsia="zh-C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86" w:type="dxa"/>
        <w:bottom w:w="29" w:type="dxa"/>
        <w:right w:w="86" w:type="dxa"/>
      </w:tblCellMar>
    </w:tblPr>
    <w:trPr>
      <w:cantSplit/>
    </w:trPr>
    <w:tcPr>
      <w:vAlign w:val="bottom"/>
    </w:tcPr>
    <w:tblStylePr w:type="firstRow">
      <w:pPr>
        <w:jc w:val="center"/>
      </w:pPr>
      <w:rPr>
        <w:b/>
        <w:color w:val="auto"/>
      </w:rPr>
      <w:tblPr/>
      <w:tcPr>
        <w:shd w:val="clear" w:color="auto" w:fill="D9D9D9" w:themeFill="background1" w:themeFillShade="D9"/>
      </w:tcPr>
    </w:tblStylePr>
    <w:tblStylePr w:type="band2Horz">
      <w:tblPr/>
      <w:tcPr>
        <w:shd w:val="clear" w:color="auto" w:fill="F2F2F2" w:themeFill="background1" w:themeFillShade="F2"/>
      </w:tcPr>
    </w:tblStylePr>
  </w:style>
  <w:style w:type="character" w:customStyle="1" w:styleId="BracketedComment">
    <w:name w:val="Bracketed Comment"/>
    <w:aliases w:val="br"/>
    <w:basedOn w:val="DefaultParagraphFont"/>
    <w:uiPriority w:val="9"/>
    <w:rsid w:val="00C6727F"/>
    <w:rPr>
      <w:b/>
    </w:rPr>
  </w:style>
  <w:style w:type="paragraph" w:customStyle="1" w:styleId="BulletPara">
    <w:name w:val="Bullet Para"/>
    <w:aliases w:val="bp"/>
    <w:basedOn w:val="Normal"/>
    <w:uiPriority w:val="4"/>
    <w:qFormat/>
    <w:rsid w:val="00C6727F"/>
    <w:pPr>
      <w:numPr>
        <w:numId w:val="7"/>
      </w:numPr>
    </w:pPr>
  </w:style>
  <w:style w:type="paragraph" w:customStyle="1" w:styleId="BulletParaAlt">
    <w:name w:val="Bullet Para Alt"/>
    <w:aliases w:val="bpa"/>
    <w:basedOn w:val="Normal"/>
    <w:uiPriority w:val="4"/>
    <w:rsid w:val="00C6727F"/>
    <w:pPr>
      <w:numPr>
        <w:ilvl w:val="2"/>
        <w:numId w:val="7"/>
      </w:numPr>
    </w:pPr>
  </w:style>
  <w:style w:type="paragraph" w:customStyle="1" w:styleId="BulletPara2">
    <w:name w:val="Bullet Para2"/>
    <w:aliases w:val="bp2"/>
    <w:basedOn w:val="Normal"/>
    <w:uiPriority w:val="4"/>
    <w:rsid w:val="00C6727F"/>
    <w:pPr>
      <w:numPr>
        <w:ilvl w:val="1"/>
        <w:numId w:val="7"/>
      </w:numPr>
    </w:pPr>
  </w:style>
  <w:style w:type="character" w:customStyle="1" w:styleId="Citation">
    <w:name w:val="Citation"/>
    <w:aliases w:val="ct"/>
    <w:basedOn w:val="DefaultParagraphFont"/>
    <w:uiPriority w:val="9"/>
    <w:rsid w:val="00C6727F"/>
    <w:rPr>
      <w:u w:val="single"/>
    </w:rPr>
  </w:style>
  <w:style w:type="paragraph" w:customStyle="1" w:styleId="CoverCenter">
    <w:name w:val="Cover: Center"/>
    <w:aliases w:val="cc"/>
    <w:basedOn w:val="Normal"/>
    <w:rsid w:val="00C6727F"/>
    <w:pPr>
      <w:keepLines/>
      <w:spacing w:before="120"/>
      <w:jc w:val="center"/>
    </w:pPr>
    <w:rPr>
      <w:b/>
    </w:rPr>
  </w:style>
  <w:style w:type="paragraph" w:customStyle="1" w:styleId="CoverCenterLarge">
    <w:name w:val="Cover: CenterLarge"/>
    <w:aliases w:val="ccl"/>
    <w:basedOn w:val="Normal"/>
    <w:rsid w:val="00C6727F"/>
    <w:pPr>
      <w:keepLines/>
      <w:spacing w:before="200" w:after="120"/>
      <w:jc w:val="center"/>
    </w:pPr>
    <w:rPr>
      <w:b/>
      <w:bCs/>
      <w:sz w:val="32"/>
      <w:szCs w:val="32"/>
    </w:rPr>
  </w:style>
  <w:style w:type="paragraph" w:customStyle="1" w:styleId="CoverDivider">
    <w:name w:val="Cover: Divider"/>
    <w:aliases w:val="cd"/>
    <w:basedOn w:val="Normal"/>
    <w:next w:val="Normal"/>
    <w:rsid w:val="00C6727F"/>
    <w:pPr>
      <w:jc w:val="center"/>
    </w:pPr>
    <w:rPr>
      <w:sz w:val="16"/>
      <w:u w:val="single"/>
    </w:rPr>
  </w:style>
  <w:style w:type="paragraph" w:customStyle="1" w:styleId="CoverPara">
    <w:name w:val="Cover: Para"/>
    <w:aliases w:val="cp"/>
    <w:basedOn w:val="Normal"/>
    <w:rsid w:val="00C6727F"/>
    <w:pPr>
      <w:spacing w:before="120"/>
      <w:jc w:val="both"/>
    </w:pPr>
    <w:rPr>
      <w:sz w:val="20"/>
    </w:rPr>
  </w:style>
  <w:style w:type="table" w:styleId="DarkList">
    <w:name w:val="Dark List"/>
    <w:basedOn w:val="TableNormal"/>
    <w:uiPriority w:val="70"/>
    <w:rsid w:val="00C6727F"/>
    <w:pPr>
      <w:spacing w:after="0" w:line="240" w:lineRule="auto"/>
    </w:pPr>
    <w:rPr>
      <w:rFonts w:eastAsiaTheme="minorEastAsia"/>
      <w:color w:val="FFFFFF" w:themeColor="background1"/>
      <w:sz w:val="24"/>
      <w:szCs w:val="24"/>
      <w:lang w:eastAsia="zh-CN"/>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customStyle="1" w:styleId="DefinedTerm">
    <w:name w:val="Defined Term"/>
    <w:aliases w:val="dt"/>
    <w:basedOn w:val="DefaultParagraphFont"/>
    <w:rsid w:val="00C6727F"/>
    <w:rPr>
      <w:b/>
      <w:bCs/>
    </w:rPr>
  </w:style>
  <w:style w:type="paragraph" w:customStyle="1" w:styleId="DoublePara">
    <w:name w:val="Double Para"/>
    <w:aliases w:val="dp"/>
    <w:basedOn w:val="Normal"/>
    <w:qFormat/>
    <w:rsid w:val="00C6727F"/>
    <w:pPr>
      <w:spacing w:line="480" w:lineRule="auto"/>
      <w:ind w:firstLine="1440"/>
    </w:pPr>
  </w:style>
  <w:style w:type="paragraph" w:customStyle="1" w:styleId="DoubleParaFlush">
    <w:name w:val="Double Para Flush"/>
    <w:aliases w:val="dpf"/>
    <w:basedOn w:val="DoublePara"/>
    <w:next w:val="DoublePara"/>
    <w:rsid w:val="00C6727F"/>
    <w:pPr>
      <w:ind w:firstLine="0"/>
    </w:pPr>
  </w:style>
  <w:style w:type="character" w:customStyle="1" w:styleId="Draftline">
    <w:name w:val="Draftline"/>
    <w:basedOn w:val="DefaultParagraphFont"/>
    <w:semiHidden/>
    <w:rsid w:val="00C6727F"/>
    <w:rPr>
      <w:rFonts w:ascii="Times New Roman" w:hAnsi="Times New Roman" w:cs="Times New Roman"/>
      <w:dstrike w:val="0"/>
      <w:vanish/>
      <w:color w:val="FF0000"/>
      <w:sz w:val="15"/>
      <w:szCs w:val="15"/>
      <w:u w:val="none"/>
      <w:vertAlign w:val="baseline"/>
    </w:rPr>
  </w:style>
  <w:style w:type="table" w:customStyle="1" w:styleId="FinancialTable">
    <w:name w:val="Financial Table"/>
    <w:basedOn w:val="TableNormal"/>
    <w:uiPriority w:val="99"/>
    <w:rsid w:val="00C6727F"/>
    <w:pPr>
      <w:spacing w:after="0" w:line="240" w:lineRule="auto"/>
    </w:pPr>
    <w:rPr>
      <w:rFonts w:eastAsiaTheme="minorEastAsia"/>
      <w:sz w:val="18"/>
      <w:szCs w:val="24"/>
      <w:lang w:eastAsia="zh-CN"/>
    </w:rPr>
    <w:tblPr>
      <w:tblCellMar>
        <w:top w:w="29" w:type="dxa"/>
        <w:left w:w="86" w:type="dxa"/>
        <w:bottom w:w="29" w:type="dxa"/>
        <w:right w:w="86" w:type="dxa"/>
      </w:tblCellMar>
    </w:tblPr>
    <w:trPr>
      <w:cantSplit/>
    </w:trPr>
    <w:tcPr>
      <w:vAlign w:val="bottom"/>
    </w:tcPr>
    <w:tblStylePr w:type="firstRow">
      <w:pPr>
        <w:jc w:val="center"/>
      </w:pPr>
      <w:rPr>
        <w:b/>
      </w:rPr>
      <w:tblPr/>
      <w:trPr>
        <w:cantSplit w:val="0"/>
        <w:tblHeader/>
      </w:trPr>
    </w:tblStylePr>
    <w:tblStylePr w:type="firstCol">
      <w:pPr>
        <w:wordWrap/>
        <w:ind w:hangingChars="120" w:hanging="120"/>
      </w:pPr>
    </w:tblStylePr>
  </w:style>
  <w:style w:type="numbering" w:customStyle="1" w:styleId="FlatBullets">
    <w:name w:val="FlatBullets"/>
    <w:basedOn w:val="NoList"/>
    <w:uiPriority w:val="99"/>
    <w:rsid w:val="00C6727F"/>
    <w:pPr>
      <w:numPr>
        <w:numId w:val="4"/>
      </w:numPr>
    </w:pPr>
  </w:style>
  <w:style w:type="numbering" w:customStyle="1" w:styleId="FlatNumbers">
    <w:name w:val="FlatNumbers"/>
    <w:basedOn w:val="NoList"/>
    <w:uiPriority w:val="99"/>
    <w:rsid w:val="00C6727F"/>
    <w:pPr>
      <w:numPr>
        <w:numId w:val="1"/>
      </w:numPr>
    </w:pPr>
  </w:style>
  <w:style w:type="paragraph" w:customStyle="1" w:styleId="FooterB">
    <w:name w:val="Footer B"/>
    <w:link w:val="FooterBChar"/>
    <w:rsid w:val="009C3BE2"/>
    <w:pPr>
      <w:tabs>
        <w:tab w:val="center" w:pos="4680"/>
        <w:tab w:val="right" w:pos="9360"/>
      </w:tabs>
      <w:spacing w:after="0" w:line="240" w:lineRule="auto"/>
    </w:pPr>
    <w:rPr>
      <w:rFonts w:ascii="Times New Roman" w:eastAsia="SimSun" w:hAnsi="Times New Roman" w:cs="Times New Roman"/>
      <w:sz w:val="15"/>
      <w:szCs w:val="24"/>
      <w:lang w:eastAsia="zh-CN" w:bidi="he-IL"/>
    </w:rPr>
  </w:style>
  <w:style w:type="paragraph" w:styleId="FootnoteText">
    <w:name w:val="footnote text"/>
    <w:basedOn w:val="Normal"/>
    <w:link w:val="FootnoteTextChar"/>
    <w:unhideWhenUsed/>
    <w:rsid w:val="00B22E99"/>
    <w:pPr>
      <w:spacing w:before="120"/>
      <w:ind w:left="360" w:hanging="360"/>
    </w:pPr>
    <w:rPr>
      <w:sz w:val="20"/>
      <w:szCs w:val="20"/>
    </w:rPr>
  </w:style>
  <w:style w:type="character" w:customStyle="1" w:styleId="FootnoteTextChar">
    <w:name w:val="Footnote Text Char"/>
    <w:basedOn w:val="DefaultParagraphFont"/>
    <w:link w:val="FootnoteText"/>
    <w:rsid w:val="00B22E99"/>
    <w:rPr>
      <w:rFonts w:ascii="Times New Roman" w:eastAsia="SimSun" w:hAnsi="Times New Roman" w:cs="Times New Roman"/>
      <w:sz w:val="20"/>
      <w:szCs w:val="20"/>
      <w:lang w:eastAsia="zh-CN" w:bidi="he-IL"/>
    </w:rPr>
  </w:style>
  <w:style w:type="paragraph" w:customStyle="1" w:styleId="FootnoteText2">
    <w:name w:val="Footnote Text2"/>
    <w:basedOn w:val="Normal"/>
    <w:rsid w:val="00C6727F"/>
    <w:pPr>
      <w:spacing w:after="240"/>
      <w:ind w:left="720"/>
    </w:pPr>
  </w:style>
  <w:style w:type="paragraph" w:customStyle="1" w:styleId="Graphic">
    <w:name w:val="Graphic"/>
    <w:aliases w:val="g"/>
    <w:basedOn w:val="Normal"/>
    <w:next w:val="Normal"/>
    <w:rsid w:val="00C6727F"/>
    <w:pPr>
      <w:spacing w:before="240"/>
      <w:jc w:val="center"/>
    </w:pPr>
    <w:rPr>
      <w:sz w:val="16"/>
      <w:szCs w:val="16"/>
    </w:rPr>
  </w:style>
  <w:style w:type="character" w:customStyle="1" w:styleId="Heading1Char">
    <w:name w:val="Heading 1 Char"/>
    <w:basedOn w:val="DefaultParagraphFont"/>
    <w:link w:val="Heading1"/>
    <w:uiPriority w:val="19"/>
    <w:rsid w:val="00C6727F"/>
    <w:rPr>
      <w:rFonts w:asciiTheme="majorHAnsi" w:eastAsiaTheme="majorEastAsia" w:hAnsiTheme="majorHAnsi" w:cstheme="majorBidi"/>
      <w:b/>
      <w:bCs/>
      <w:color w:val="365F91" w:themeColor="accent1" w:themeShade="BF"/>
      <w:sz w:val="28"/>
      <w:szCs w:val="28"/>
      <w:lang w:eastAsia="zh-CN"/>
    </w:rPr>
  </w:style>
  <w:style w:type="character" w:customStyle="1" w:styleId="Heading2Char">
    <w:name w:val="Heading 2 Char"/>
    <w:basedOn w:val="DefaultParagraphFont"/>
    <w:link w:val="Heading2"/>
    <w:uiPriority w:val="19"/>
    <w:rsid w:val="00C6727F"/>
    <w:rPr>
      <w:rFonts w:asciiTheme="majorHAnsi" w:eastAsiaTheme="majorEastAsia" w:hAnsiTheme="majorHAnsi" w:cstheme="majorBidi"/>
      <w:b/>
      <w:bCs/>
      <w:color w:val="4F81BD" w:themeColor="accent1"/>
      <w:sz w:val="26"/>
      <w:szCs w:val="26"/>
      <w:lang w:eastAsia="zh-CN"/>
    </w:rPr>
  </w:style>
  <w:style w:type="paragraph" w:customStyle="1" w:styleId="HeadingCenter">
    <w:name w:val="Heading: Center"/>
    <w:aliases w:val="hc"/>
    <w:basedOn w:val="Normal"/>
    <w:next w:val="Normal"/>
    <w:link w:val="HeadingCenterChar"/>
    <w:rsid w:val="00C6727F"/>
    <w:pPr>
      <w:keepNext/>
      <w:keepLines/>
      <w:spacing w:before="240" w:after="240"/>
      <w:jc w:val="center"/>
    </w:pPr>
    <w:rPr>
      <w:rFonts w:asciiTheme="majorHAnsi" w:hAnsiTheme="majorHAnsi"/>
    </w:rPr>
  </w:style>
  <w:style w:type="character" w:customStyle="1" w:styleId="HeadingCenterChar">
    <w:name w:val="Heading: Center Char"/>
    <w:aliases w:val="hc Char"/>
    <w:basedOn w:val="DefaultParagraphFont"/>
    <w:link w:val="HeadingCenter"/>
    <w:rsid w:val="00C6727F"/>
    <w:rPr>
      <w:rFonts w:asciiTheme="majorHAnsi" w:eastAsiaTheme="minorEastAsia" w:hAnsiTheme="majorHAnsi"/>
      <w:sz w:val="24"/>
      <w:szCs w:val="24"/>
      <w:lang w:eastAsia="zh-CN" w:bidi="he-IL"/>
    </w:rPr>
  </w:style>
  <w:style w:type="paragraph" w:customStyle="1" w:styleId="HeadingCenterBold">
    <w:name w:val="Heading: CenterBold"/>
    <w:aliases w:val="hcb"/>
    <w:basedOn w:val="HeadingCenter"/>
    <w:next w:val="Normal"/>
    <w:qFormat/>
    <w:rsid w:val="00C6727F"/>
    <w:rPr>
      <w:rFonts w:cs="Times New Roman Bold"/>
      <w:b/>
    </w:rPr>
  </w:style>
  <w:style w:type="paragraph" w:customStyle="1" w:styleId="HeadingCenterLarge">
    <w:name w:val="Heading: CenterLarge"/>
    <w:aliases w:val="hcl"/>
    <w:basedOn w:val="HeadingCenter"/>
    <w:next w:val="Normal"/>
    <w:rsid w:val="00C6727F"/>
    <w:rPr>
      <w:b/>
      <w:sz w:val="32"/>
    </w:rPr>
  </w:style>
  <w:style w:type="paragraph" w:customStyle="1" w:styleId="HeadingCenterUnd">
    <w:name w:val="Heading: CenterUnd"/>
    <w:aliases w:val="hcu"/>
    <w:basedOn w:val="HeadingCenter"/>
    <w:next w:val="Normal"/>
    <w:rsid w:val="00C6727F"/>
    <w:rPr>
      <w:u w:val="single"/>
    </w:rPr>
  </w:style>
  <w:style w:type="paragraph" w:customStyle="1" w:styleId="HeadingIndent">
    <w:name w:val="Heading: Indent"/>
    <w:aliases w:val="hi"/>
    <w:basedOn w:val="Normal"/>
    <w:next w:val="Normal"/>
    <w:rsid w:val="00C6727F"/>
    <w:pPr>
      <w:keepNext/>
      <w:keepLines/>
      <w:spacing w:before="240"/>
      <w:ind w:left="360"/>
    </w:pPr>
    <w:rPr>
      <w:rFonts w:asciiTheme="majorHAnsi" w:hAnsiTheme="majorHAnsi"/>
      <w:b/>
      <w:bCs/>
      <w:i/>
    </w:rPr>
  </w:style>
  <w:style w:type="paragraph" w:customStyle="1" w:styleId="HeadingLeftBold">
    <w:name w:val="Heading: LeftBold"/>
    <w:aliases w:val="hlb"/>
    <w:basedOn w:val="Normal"/>
    <w:next w:val="Normal"/>
    <w:link w:val="HeadingLeftBoldChar"/>
    <w:qFormat/>
    <w:rsid w:val="00C6727F"/>
    <w:pPr>
      <w:keepNext/>
      <w:keepLines/>
      <w:spacing w:before="240"/>
    </w:pPr>
    <w:rPr>
      <w:rFonts w:asciiTheme="majorHAnsi" w:hAnsiTheme="majorHAnsi"/>
      <w:b/>
      <w:bCs/>
    </w:rPr>
  </w:style>
  <w:style w:type="character" w:customStyle="1" w:styleId="HeadingLeftBoldChar">
    <w:name w:val="Heading: LeftBold Char"/>
    <w:aliases w:val="hlb Char"/>
    <w:basedOn w:val="DefaultParagraphFont"/>
    <w:link w:val="HeadingLeftBold"/>
    <w:rsid w:val="00C6727F"/>
    <w:rPr>
      <w:rFonts w:asciiTheme="majorHAnsi" w:eastAsiaTheme="minorEastAsia" w:hAnsiTheme="majorHAnsi"/>
      <w:b/>
      <w:bCs/>
      <w:sz w:val="24"/>
      <w:szCs w:val="24"/>
      <w:lang w:eastAsia="zh-CN" w:bidi="he-IL"/>
    </w:rPr>
  </w:style>
  <w:style w:type="paragraph" w:customStyle="1" w:styleId="HeadingLeftBoldItal">
    <w:name w:val="Heading: LeftBoldItal"/>
    <w:aliases w:val="hlbi"/>
    <w:basedOn w:val="HeadingLeftBold"/>
    <w:next w:val="Normal"/>
    <w:rsid w:val="00773AC8"/>
    <w:pPr>
      <w:ind w:left="1440" w:hanging="720"/>
    </w:pPr>
    <w:rPr>
      <w:rFonts w:cs="Times New Roman Bold"/>
      <w:i/>
      <w:iCs/>
    </w:rPr>
  </w:style>
  <w:style w:type="paragraph" w:customStyle="1" w:styleId="HeadingLeftBoldUnd">
    <w:name w:val="Heading: LeftBoldUnd"/>
    <w:aliases w:val="hlbu"/>
    <w:basedOn w:val="HeadingLeftBold"/>
    <w:next w:val="Normal"/>
    <w:rsid w:val="00C6727F"/>
    <w:rPr>
      <w:rFonts w:cs="Times New Roman Bold"/>
      <w:u w:val="single"/>
    </w:rPr>
  </w:style>
  <w:style w:type="paragraph" w:customStyle="1" w:styleId="HeadingLeftItal">
    <w:name w:val="Heading: LeftItal"/>
    <w:aliases w:val="hli"/>
    <w:basedOn w:val="HeadingLeftBold"/>
    <w:next w:val="Normal"/>
    <w:rsid w:val="00C6727F"/>
    <w:rPr>
      <w:b w:val="0"/>
      <w:i/>
    </w:rPr>
  </w:style>
  <w:style w:type="paragraph" w:customStyle="1" w:styleId="HeadingLeftUnd">
    <w:name w:val="Heading: LeftUnd"/>
    <w:aliases w:val="hlu"/>
    <w:basedOn w:val="HeadingLeftBold"/>
    <w:next w:val="Normal"/>
    <w:rsid w:val="00C6727F"/>
    <w:rPr>
      <w:b w:val="0"/>
      <w:u w:val="single"/>
    </w:rPr>
  </w:style>
  <w:style w:type="paragraph" w:customStyle="1" w:styleId="HeadingRight">
    <w:name w:val="Heading: Right"/>
    <w:aliases w:val="hr"/>
    <w:basedOn w:val="Normal"/>
    <w:next w:val="Normal"/>
    <w:rsid w:val="00C6727F"/>
    <w:pPr>
      <w:keepNext/>
      <w:keepLines/>
      <w:spacing w:before="240"/>
      <w:jc w:val="right"/>
    </w:pPr>
    <w:rPr>
      <w:rFonts w:asciiTheme="majorHAnsi" w:hAnsiTheme="majorHAnsi"/>
      <w:u w:val="single"/>
    </w:rPr>
  </w:style>
  <w:style w:type="paragraph" w:customStyle="1" w:styleId="HeadingRightTitle">
    <w:name w:val="Heading: RightTitle"/>
    <w:aliases w:val="hrt"/>
    <w:basedOn w:val="HeadingRight"/>
    <w:next w:val="HeadingCenterBold"/>
    <w:rsid w:val="00C6727F"/>
    <w:pPr>
      <w:spacing w:after="240"/>
    </w:pPr>
    <w:rPr>
      <w:rFonts w:cs="Times New Roman Bold"/>
      <w:b/>
      <w:bCs/>
      <w:u w:val="none"/>
    </w:rPr>
  </w:style>
  <w:style w:type="table" w:customStyle="1" w:styleId="IndentedTable">
    <w:name w:val="Indented Table"/>
    <w:basedOn w:val="TableNormal"/>
    <w:uiPriority w:val="99"/>
    <w:rsid w:val="00C6727F"/>
    <w:pPr>
      <w:spacing w:after="0" w:line="240" w:lineRule="auto"/>
    </w:pPr>
    <w:rPr>
      <w:rFonts w:eastAsiaTheme="minorEastAsia"/>
      <w:sz w:val="24"/>
      <w:szCs w:val="24"/>
      <w:lang w:eastAsia="zh-CN"/>
    </w:rPr>
    <w:tblPr>
      <w:tblInd w:w="720" w:type="dxa"/>
      <w:tblCellMar>
        <w:top w:w="29" w:type="dxa"/>
        <w:left w:w="86" w:type="dxa"/>
        <w:bottom w:w="29" w:type="dxa"/>
        <w:right w:w="86" w:type="dxa"/>
      </w:tblCellMar>
    </w:tblPr>
    <w:trPr>
      <w:cantSplit/>
    </w:trPr>
  </w:style>
  <w:style w:type="paragraph" w:customStyle="1" w:styleId="ListDoublePara">
    <w:name w:val="List Double Para"/>
    <w:aliases w:val="ldp"/>
    <w:basedOn w:val="Normal"/>
    <w:uiPriority w:val="4"/>
    <w:rsid w:val="00C6727F"/>
    <w:pPr>
      <w:numPr>
        <w:ilvl w:val="1"/>
        <w:numId w:val="14"/>
      </w:numPr>
      <w:spacing w:line="480" w:lineRule="auto"/>
    </w:pPr>
  </w:style>
  <w:style w:type="paragraph" w:customStyle="1" w:styleId="ListSinglePara">
    <w:name w:val="List Single Para"/>
    <w:aliases w:val="lsp,ls"/>
    <w:basedOn w:val="Normal"/>
    <w:rsid w:val="00C6727F"/>
    <w:pPr>
      <w:numPr>
        <w:numId w:val="14"/>
      </w:numPr>
    </w:pPr>
  </w:style>
  <w:style w:type="paragraph" w:customStyle="1" w:styleId="NoticeAddress">
    <w:name w:val="Notice Address"/>
    <w:aliases w:val="na"/>
    <w:basedOn w:val="Normal"/>
    <w:next w:val="Normal"/>
    <w:rsid w:val="00C6727F"/>
    <w:pPr>
      <w:keepLines/>
      <w:tabs>
        <w:tab w:val="left" w:pos="2880"/>
      </w:tabs>
      <w:spacing w:before="240"/>
      <w:ind w:left="2160"/>
    </w:pPr>
  </w:style>
  <w:style w:type="paragraph" w:customStyle="1" w:styleId="NoticeHeading">
    <w:name w:val="Notice Heading"/>
    <w:aliases w:val="nh"/>
    <w:basedOn w:val="Normal"/>
    <w:next w:val="NoticeAddress"/>
    <w:rsid w:val="00C6727F"/>
    <w:pPr>
      <w:keepNext/>
      <w:keepLines/>
      <w:spacing w:before="240"/>
      <w:ind w:left="1440"/>
    </w:pPr>
  </w:style>
  <w:style w:type="paragraph" w:customStyle="1" w:styleId="OrdinalPara">
    <w:name w:val="Ordinal Para"/>
    <w:aliases w:val="op"/>
    <w:basedOn w:val="Normal"/>
    <w:uiPriority w:val="4"/>
    <w:rsid w:val="00C6727F"/>
    <w:pPr>
      <w:numPr>
        <w:ilvl w:val="4"/>
        <w:numId w:val="14"/>
      </w:numPr>
    </w:pPr>
  </w:style>
  <w:style w:type="paragraph" w:customStyle="1" w:styleId="Parties">
    <w:name w:val="Parties"/>
    <w:basedOn w:val="Normal"/>
    <w:uiPriority w:val="4"/>
    <w:rsid w:val="00C6727F"/>
    <w:pPr>
      <w:numPr>
        <w:ilvl w:val="7"/>
        <w:numId w:val="14"/>
      </w:numPr>
    </w:pPr>
  </w:style>
  <w:style w:type="paragraph" w:customStyle="1" w:styleId="Question">
    <w:name w:val="Question"/>
    <w:aliases w:val="qt"/>
    <w:basedOn w:val="Normal"/>
    <w:next w:val="Answer"/>
    <w:uiPriority w:val="4"/>
    <w:rsid w:val="00C6727F"/>
    <w:pPr>
      <w:keepNext/>
      <w:keepLines/>
      <w:numPr>
        <w:ilvl w:val="5"/>
        <w:numId w:val="14"/>
      </w:numPr>
      <w:spacing w:before="240"/>
    </w:pPr>
  </w:style>
  <w:style w:type="paragraph" w:customStyle="1" w:styleId="QuoteBlock">
    <w:name w:val="Quote Block"/>
    <w:aliases w:val="qb"/>
    <w:basedOn w:val="Normal"/>
    <w:next w:val="DoubleParaFlush"/>
    <w:qFormat/>
    <w:rsid w:val="00C6727F"/>
    <w:pPr>
      <w:spacing w:after="240"/>
      <w:ind w:left="720" w:right="720"/>
      <w:jc w:val="both"/>
    </w:pPr>
  </w:style>
  <w:style w:type="paragraph" w:customStyle="1" w:styleId="QuoteBlockIndent">
    <w:name w:val="Quote Block Indent"/>
    <w:aliases w:val="qbi"/>
    <w:basedOn w:val="QuoteBlock"/>
    <w:next w:val="DoubleParaFlush"/>
    <w:rsid w:val="00C6727F"/>
    <w:pPr>
      <w:ind w:firstLine="720"/>
    </w:pPr>
  </w:style>
  <w:style w:type="paragraph" w:customStyle="1" w:styleId="Recitals">
    <w:name w:val="Recitals"/>
    <w:basedOn w:val="Normal"/>
    <w:uiPriority w:val="4"/>
    <w:rsid w:val="00C6727F"/>
    <w:pPr>
      <w:numPr>
        <w:ilvl w:val="8"/>
        <w:numId w:val="14"/>
      </w:numPr>
    </w:pPr>
  </w:style>
  <w:style w:type="character" w:customStyle="1" w:styleId="Reference">
    <w:name w:val="Reference"/>
    <w:aliases w:val="rf"/>
    <w:basedOn w:val="DefaultParagraphFont"/>
    <w:uiPriority w:val="9"/>
    <w:rsid w:val="00C6727F"/>
    <w:rPr>
      <w:u w:val="single"/>
    </w:rPr>
  </w:style>
  <w:style w:type="character" w:customStyle="1" w:styleId="Run-inheading">
    <w:name w:val="Run-in heading"/>
    <w:aliases w:val="ri"/>
    <w:basedOn w:val="DefaultParagraphFont"/>
    <w:uiPriority w:val="9"/>
    <w:rsid w:val="00C6727F"/>
    <w:rPr>
      <w:i/>
      <w:iCs/>
    </w:rPr>
  </w:style>
  <w:style w:type="table" w:customStyle="1" w:styleId="ShadedTable">
    <w:name w:val="Shaded Table"/>
    <w:basedOn w:val="TableNormal"/>
    <w:uiPriority w:val="99"/>
    <w:rsid w:val="00C6727F"/>
    <w:pPr>
      <w:spacing w:after="0" w:line="240" w:lineRule="auto"/>
    </w:pPr>
    <w:rPr>
      <w:rFonts w:eastAsiaTheme="minorEastAsia"/>
      <w:sz w:val="24"/>
      <w:szCs w:val="24"/>
      <w:lang w:eastAsia="zh-CN"/>
    </w:rPr>
    <w:tblPr>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rPr>
      <w:cantSplit/>
      <w:jc w:val="center"/>
    </w:trPr>
    <w:tcPr>
      <w:shd w:val="clear" w:color="auto" w:fill="auto"/>
      <w:vAlign w:val="bottom"/>
    </w:tcPr>
    <w:tblStylePr w:type="firstRow">
      <w:pPr>
        <w:jc w:val="center"/>
      </w:pPr>
      <w:rPr>
        <w:b/>
      </w:rPr>
      <w:tblPr/>
      <w:tcPr>
        <w:tcBorders>
          <w:top w:val="double" w:sz="4" w:space="0" w:color="auto"/>
          <w:left w:val="double" w:sz="4" w:space="0" w:color="auto"/>
          <w:bottom w:val="double" w:sz="4" w:space="0" w:color="auto"/>
          <w:right w:val="double" w:sz="4" w:space="0" w:color="auto"/>
          <w:insideH w:val="nil"/>
          <w:insideV w:val="single" w:sz="4" w:space="0" w:color="auto"/>
          <w:tl2br w:val="nil"/>
          <w:tr2bl w:val="nil"/>
        </w:tcBorders>
        <w:shd w:val="clear" w:color="auto" w:fill="D9D9D9" w:themeFill="background1" w:themeFillShade="D9"/>
      </w:tcPr>
    </w:tblStylePr>
  </w:style>
  <w:style w:type="numbering" w:customStyle="1" w:styleId="ShortOutlineList">
    <w:name w:val="ShortOutline List"/>
    <w:uiPriority w:val="99"/>
    <w:rsid w:val="00C6727F"/>
    <w:pPr>
      <w:numPr>
        <w:numId w:val="15"/>
      </w:numPr>
    </w:pPr>
  </w:style>
  <w:style w:type="paragraph" w:customStyle="1" w:styleId="ShortOutline1">
    <w:name w:val="ShortOutline1"/>
    <w:basedOn w:val="Normal"/>
    <w:link w:val="ShortOutline1Char"/>
    <w:rsid w:val="00C6727F"/>
    <w:pPr>
      <w:numPr>
        <w:numId w:val="20"/>
      </w:numPr>
      <w:spacing w:before="240" w:after="240"/>
    </w:pPr>
  </w:style>
  <w:style w:type="paragraph" w:customStyle="1" w:styleId="ShortOutline2">
    <w:name w:val="ShortOutline2"/>
    <w:basedOn w:val="Normal"/>
    <w:rsid w:val="00C6727F"/>
    <w:pPr>
      <w:numPr>
        <w:ilvl w:val="1"/>
        <w:numId w:val="20"/>
      </w:numPr>
      <w:spacing w:before="240" w:after="240"/>
    </w:pPr>
    <w:rPr>
      <w:color w:val="000000"/>
    </w:rPr>
  </w:style>
  <w:style w:type="paragraph" w:customStyle="1" w:styleId="ShortOutline3">
    <w:name w:val="ShortOutline3"/>
    <w:basedOn w:val="Normal"/>
    <w:rsid w:val="00C6727F"/>
    <w:pPr>
      <w:numPr>
        <w:ilvl w:val="2"/>
        <w:numId w:val="20"/>
      </w:numPr>
      <w:spacing w:before="240" w:after="240"/>
    </w:pPr>
    <w:rPr>
      <w:color w:val="000000"/>
    </w:rPr>
  </w:style>
  <w:style w:type="paragraph" w:customStyle="1" w:styleId="ShortOutline4">
    <w:name w:val="ShortOutline4"/>
    <w:basedOn w:val="Normal"/>
    <w:rsid w:val="00C6727F"/>
    <w:pPr>
      <w:numPr>
        <w:ilvl w:val="3"/>
        <w:numId w:val="20"/>
      </w:numPr>
      <w:spacing w:before="240" w:after="240"/>
    </w:pPr>
    <w:rPr>
      <w:color w:val="000000"/>
    </w:rPr>
  </w:style>
  <w:style w:type="paragraph" w:customStyle="1" w:styleId="ShortOutline5">
    <w:name w:val="ShortOutline5"/>
    <w:basedOn w:val="Normal"/>
    <w:rsid w:val="00C6727F"/>
    <w:pPr>
      <w:numPr>
        <w:ilvl w:val="4"/>
        <w:numId w:val="20"/>
      </w:numPr>
      <w:spacing w:before="240" w:after="240"/>
    </w:pPr>
    <w:rPr>
      <w:color w:val="000000"/>
    </w:rPr>
  </w:style>
  <w:style w:type="paragraph" w:customStyle="1" w:styleId="SignatureBlock">
    <w:name w:val="Signature Block"/>
    <w:aliases w:val="sb"/>
    <w:basedOn w:val="Normal"/>
    <w:rsid w:val="00C6727F"/>
    <w:pPr>
      <w:keepLines/>
      <w:tabs>
        <w:tab w:val="left" w:pos="5472"/>
        <w:tab w:val="left" w:pos="6192"/>
        <w:tab w:val="right" w:pos="9360"/>
      </w:tabs>
      <w:spacing w:before="480"/>
      <w:ind w:left="5040"/>
    </w:pPr>
  </w:style>
  <w:style w:type="paragraph" w:customStyle="1" w:styleId="SinglePara">
    <w:name w:val="Single Para"/>
    <w:aliases w:val="sp"/>
    <w:basedOn w:val="Normal"/>
    <w:qFormat/>
    <w:rsid w:val="00C6727F"/>
    <w:pPr>
      <w:spacing w:before="240" w:after="240"/>
      <w:ind w:firstLine="720"/>
    </w:pPr>
  </w:style>
  <w:style w:type="paragraph" w:customStyle="1" w:styleId="SingleParaAlt">
    <w:name w:val="Single Para Alt"/>
    <w:aliases w:val="spa"/>
    <w:basedOn w:val="Normal"/>
    <w:rsid w:val="00C6727F"/>
    <w:pPr>
      <w:spacing w:before="240" w:after="240"/>
      <w:ind w:firstLine="1440"/>
    </w:pPr>
  </w:style>
  <w:style w:type="paragraph" w:customStyle="1" w:styleId="SingleParaFlush">
    <w:name w:val="Single Para Flush"/>
    <w:aliases w:val="spf"/>
    <w:basedOn w:val="SinglePara"/>
    <w:rsid w:val="00C6727F"/>
    <w:pPr>
      <w:ind w:firstLine="0"/>
    </w:pPr>
  </w:style>
  <w:style w:type="paragraph" w:customStyle="1" w:styleId="SubheadBold">
    <w:name w:val="Subhead: Bold"/>
    <w:aliases w:val="shb"/>
    <w:basedOn w:val="Normal"/>
    <w:next w:val="SingleParaFlush"/>
    <w:rsid w:val="00C6727F"/>
    <w:pPr>
      <w:keepNext/>
      <w:keepLines/>
      <w:spacing w:before="240"/>
      <w:ind w:left="720"/>
    </w:pPr>
    <w:rPr>
      <w:rFonts w:asciiTheme="majorHAnsi" w:hAnsiTheme="majorHAnsi"/>
      <w:b/>
    </w:rPr>
  </w:style>
  <w:style w:type="paragraph" w:customStyle="1" w:styleId="SubheadBoldItal">
    <w:name w:val="Subhead: BoldItal"/>
    <w:aliases w:val="shbi"/>
    <w:basedOn w:val="SubheadBold"/>
    <w:next w:val="SingleParaFlush"/>
    <w:rsid w:val="00C6727F"/>
    <w:rPr>
      <w:i/>
    </w:rPr>
  </w:style>
  <w:style w:type="paragraph" w:customStyle="1" w:styleId="SubheadItal">
    <w:name w:val="Subhead: Ital"/>
    <w:aliases w:val="shi"/>
    <w:basedOn w:val="SubheadBold"/>
    <w:next w:val="SingleParaFlush"/>
    <w:rsid w:val="00C6727F"/>
    <w:rPr>
      <w:b w:val="0"/>
      <w:i/>
    </w:rPr>
  </w:style>
  <w:style w:type="numbering" w:customStyle="1" w:styleId="TableFootnotes">
    <w:name w:val="Table Footnotes"/>
    <w:basedOn w:val="NoList"/>
    <w:uiPriority w:val="99"/>
    <w:rsid w:val="00C6727F"/>
    <w:pPr>
      <w:numPr>
        <w:numId w:val="21"/>
      </w:numPr>
    </w:pPr>
  </w:style>
  <w:style w:type="table" w:styleId="TableGrid">
    <w:name w:val="Table Grid"/>
    <w:basedOn w:val="TableNormal"/>
    <w:uiPriority w:val="59"/>
    <w:rsid w:val="00C6727F"/>
    <w:pPr>
      <w:spacing w:after="0" w:line="240" w:lineRule="auto"/>
    </w:pPr>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note">
    <w:name w:val="Table: Footnote"/>
    <w:aliases w:val="tf"/>
    <w:basedOn w:val="Normal"/>
    <w:uiPriority w:val="4"/>
    <w:rsid w:val="00C6727F"/>
    <w:pPr>
      <w:numPr>
        <w:ilvl w:val="1"/>
        <w:numId w:val="23"/>
      </w:numPr>
      <w:spacing w:after="120"/>
    </w:pPr>
    <w:rPr>
      <w:sz w:val="20"/>
      <w:szCs w:val="20"/>
    </w:rPr>
  </w:style>
  <w:style w:type="paragraph" w:customStyle="1" w:styleId="TableFootnoteLine">
    <w:name w:val="Table: Footnote Line"/>
    <w:aliases w:val="tfl"/>
    <w:basedOn w:val="Normal"/>
    <w:next w:val="Normal"/>
    <w:uiPriority w:val="4"/>
    <w:rsid w:val="00C6727F"/>
    <w:pPr>
      <w:keepNext/>
      <w:keepLines/>
      <w:numPr>
        <w:numId w:val="23"/>
      </w:numPr>
      <w:pBdr>
        <w:bottom w:val="single" w:sz="8" w:space="1" w:color="auto"/>
      </w:pBdr>
      <w:ind w:right="6480"/>
    </w:pPr>
  </w:style>
  <w:style w:type="table" w:customStyle="1" w:styleId="TextTable">
    <w:name w:val="Text Table"/>
    <w:basedOn w:val="TableNormal"/>
    <w:uiPriority w:val="99"/>
    <w:rsid w:val="00C6727F"/>
    <w:pPr>
      <w:spacing w:after="0" w:line="240" w:lineRule="auto"/>
    </w:pPr>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blStylePr w:type="firstRow">
      <w:pPr>
        <w:jc w:val="left"/>
      </w:pPr>
      <w:tblPr/>
      <w:trPr>
        <w:tblHeader/>
      </w:trPr>
      <w:tcPr>
        <w:vAlign w:val="bottom"/>
      </w:tcPr>
    </w:tblStylePr>
  </w:style>
  <w:style w:type="paragraph" w:styleId="TOC1">
    <w:name w:val="toc 1"/>
    <w:basedOn w:val="Normal"/>
    <w:next w:val="Normal"/>
    <w:autoRedefine/>
    <w:uiPriority w:val="39"/>
    <w:semiHidden/>
    <w:unhideWhenUsed/>
    <w:rsid w:val="00C6727F"/>
    <w:pPr>
      <w:tabs>
        <w:tab w:val="right" w:leader="dot" w:pos="9360"/>
      </w:tabs>
      <w:spacing w:before="240"/>
      <w:ind w:left="720" w:right="720" w:hanging="720"/>
    </w:pPr>
  </w:style>
  <w:style w:type="paragraph" w:styleId="TOC2">
    <w:name w:val="toc 2"/>
    <w:basedOn w:val="Normal"/>
    <w:next w:val="Normal"/>
    <w:autoRedefine/>
    <w:uiPriority w:val="39"/>
    <w:semiHidden/>
    <w:unhideWhenUsed/>
    <w:rsid w:val="00C6727F"/>
    <w:pPr>
      <w:tabs>
        <w:tab w:val="right" w:leader="dot" w:pos="9360"/>
      </w:tabs>
      <w:spacing w:before="240"/>
      <w:ind w:left="1440" w:right="720" w:hanging="720"/>
    </w:pPr>
  </w:style>
  <w:style w:type="paragraph" w:styleId="TOC3">
    <w:name w:val="toc 3"/>
    <w:basedOn w:val="Normal"/>
    <w:next w:val="Normal"/>
    <w:autoRedefine/>
    <w:uiPriority w:val="39"/>
    <w:semiHidden/>
    <w:unhideWhenUsed/>
    <w:rsid w:val="00C6727F"/>
    <w:pPr>
      <w:tabs>
        <w:tab w:val="right" w:leader="dot" w:pos="9360"/>
      </w:tabs>
      <w:spacing w:before="240"/>
      <w:ind w:left="2160" w:right="720" w:hanging="720"/>
    </w:pPr>
  </w:style>
  <w:style w:type="paragraph" w:styleId="TOC4">
    <w:name w:val="toc 4"/>
    <w:basedOn w:val="Normal"/>
    <w:next w:val="Normal"/>
    <w:autoRedefine/>
    <w:uiPriority w:val="39"/>
    <w:semiHidden/>
    <w:unhideWhenUsed/>
    <w:rsid w:val="00C6727F"/>
    <w:pPr>
      <w:tabs>
        <w:tab w:val="right" w:leader="dot" w:pos="9360"/>
      </w:tabs>
      <w:spacing w:before="240"/>
      <w:ind w:left="2880" w:right="720" w:hanging="720"/>
    </w:pPr>
  </w:style>
  <w:style w:type="paragraph" w:styleId="TOC5">
    <w:name w:val="toc 5"/>
    <w:basedOn w:val="Normal"/>
    <w:next w:val="Normal"/>
    <w:autoRedefine/>
    <w:uiPriority w:val="39"/>
    <w:semiHidden/>
    <w:unhideWhenUsed/>
    <w:rsid w:val="00C6727F"/>
    <w:pPr>
      <w:tabs>
        <w:tab w:val="right" w:leader="dot" w:pos="9360"/>
      </w:tabs>
      <w:spacing w:before="40"/>
      <w:ind w:left="3600" w:right="720" w:hanging="720"/>
    </w:pPr>
  </w:style>
  <w:style w:type="paragraph" w:styleId="TOC6">
    <w:name w:val="toc 6"/>
    <w:basedOn w:val="Normal"/>
    <w:next w:val="Normal"/>
    <w:autoRedefine/>
    <w:uiPriority w:val="39"/>
    <w:semiHidden/>
    <w:unhideWhenUsed/>
    <w:rsid w:val="00C6727F"/>
    <w:pPr>
      <w:tabs>
        <w:tab w:val="right" w:leader="dot" w:pos="9360"/>
      </w:tabs>
      <w:spacing w:before="240"/>
      <w:ind w:left="4320" w:right="720" w:hanging="720"/>
    </w:pPr>
  </w:style>
  <w:style w:type="paragraph" w:styleId="TOC7">
    <w:name w:val="toc 7"/>
    <w:basedOn w:val="Normal"/>
    <w:next w:val="Normal"/>
    <w:autoRedefine/>
    <w:uiPriority w:val="39"/>
    <w:semiHidden/>
    <w:unhideWhenUsed/>
    <w:rsid w:val="00C6727F"/>
    <w:pPr>
      <w:tabs>
        <w:tab w:val="right" w:leader="dot" w:pos="9360"/>
      </w:tabs>
      <w:spacing w:before="240"/>
      <w:ind w:left="5040" w:right="720" w:hanging="720"/>
    </w:pPr>
  </w:style>
  <w:style w:type="paragraph" w:styleId="TOC8">
    <w:name w:val="toc 8"/>
    <w:basedOn w:val="Normal"/>
    <w:next w:val="Normal"/>
    <w:autoRedefine/>
    <w:uiPriority w:val="39"/>
    <w:semiHidden/>
    <w:unhideWhenUsed/>
    <w:rsid w:val="00C6727F"/>
    <w:pPr>
      <w:tabs>
        <w:tab w:val="right" w:leader="dot" w:pos="9360"/>
      </w:tabs>
      <w:spacing w:before="240"/>
      <w:ind w:left="5760" w:right="720" w:hanging="720"/>
    </w:pPr>
  </w:style>
  <w:style w:type="paragraph" w:styleId="TOC9">
    <w:name w:val="toc 9"/>
    <w:basedOn w:val="Normal"/>
    <w:next w:val="Normal"/>
    <w:autoRedefine/>
    <w:uiPriority w:val="39"/>
    <w:semiHidden/>
    <w:unhideWhenUsed/>
    <w:rsid w:val="00C6727F"/>
    <w:pPr>
      <w:tabs>
        <w:tab w:val="right" w:leader="dot" w:pos="9360"/>
      </w:tabs>
      <w:spacing w:before="240"/>
      <w:ind w:left="6480" w:right="720" w:hanging="720"/>
    </w:pPr>
  </w:style>
  <w:style w:type="paragraph" w:customStyle="1" w:styleId="WarningPara">
    <w:name w:val="Warning Para"/>
    <w:aliases w:val="wp"/>
    <w:basedOn w:val="SinglePara"/>
    <w:next w:val="SinglePara"/>
    <w:rsid w:val="00C6727F"/>
    <w:rPr>
      <w:b/>
      <w:caps/>
    </w:rPr>
  </w:style>
  <w:style w:type="paragraph" w:styleId="Salutation">
    <w:name w:val="Salutation"/>
    <w:basedOn w:val="Normal"/>
    <w:next w:val="Normal"/>
    <w:link w:val="SalutationChar"/>
    <w:rsid w:val="002E07B9"/>
    <w:pPr>
      <w:spacing w:before="220" w:after="220"/>
    </w:pPr>
  </w:style>
  <w:style w:type="character" w:customStyle="1" w:styleId="SalutationChar">
    <w:name w:val="Salutation Char"/>
    <w:basedOn w:val="DefaultParagraphFont"/>
    <w:link w:val="Salutation"/>
    <w:rsid w:val="002E07B9"/>
    <w:rPr>
      <w:rFonts w:ascii="Times New Roman" w:eastAsia="SimSun" w:hAnsi="Times New Roman" w:cs="Times New Roman"/>
      <w:sz w:val="24"/>
      <w:szCs w:val="24"/>
      <w:lang w:eastAsia="zh-CN" w:bidi="he-IL"/>
    </w:rPr>
  </w:style>
  <w:style w:type="paragraph" w:customStyle="1" w:styleId="CcList">
    <w:name w:val="Cc List"/>
    <w:basedOn w:val="Normal"/>
    <w:rsid w:val="002E07B9"/>
    <w:pPr>
      <w:keepLines/>
      <w:ind w:left="720" w:hanging="720"/>
    </w:pPr>
  </w:style>
  <w:style w:type="paragraph" w:styleId="Date">
    <w:name w:val="Date"/>
    <w:basedOn w:val="Normal"/>
    <w:next w:val="Normal"/>
    <w:link w:val="DateChar"/>
    <w:rsid w:val="002E07B9"/>
    <w:pPr>
      <w:spacing w:before="480" w:after="960"/>
    </w:pPr>
  </w:style>
  <w:style w:type="character" w:customStyle="1" w:styleId="DateChar">
    <w:name w:val="Date Char"/>
    <w:basedOn w:val="DefaultParagraphFont"/>
    <w:link w:val="Date"/>
    <w:rsid w:val="002E07B9"/>
    <w:rPr>
      <w:rFonts w:ascii="Times New Roman" w:eastAsia="SimSun" w:hAnsi="Times New Roman" w:cs="Times New Roman"/>
      <w:sz w:val="24"/>
      <w:szCs w:val="24"/>
      <w:lang w:eastAsia="zh-CN" w:bidi="he-IL"/>
    </w:rPr>
  </w:style>
  <w:style w:type="paragraph" w:customStyle="1" w:styleId="InsideAddress">
    <w:name w:val="Inside Address"/>
    <w:basedOn w:val="Normal"/>
    <w:rsid w:val="002E07B9"/>
  </w:style>
  <w:style w:type="paragraph" w:customStyle="1" w:styleId="Delivery">
    <w:name w:val="Delivery"/>
    <w:basedOn w:val="Normal"/>
    <w:rsid w:val="002E07B9"/>
    <w:pPr>
      <w:spacing w:after="300" w:line="0" w:lineRule="atLeast"/>
    </w:pPr>
    <w:rPr>
      <w:b/>
      <w:bCs/>
      <w:u w:val="single"/>
    </w:rPr>
  </w:style>
  <w:style w:type="paragraph" w:customStyle="1" w:styleId="ReferenceLine">
    <w:name w:val="Reference Line"/>
    <w:basedOn w:val="Normal"/>
    <w:rsid w:val="002E07B9"/>
    <w:pPr>
      <w:tabs>
        <w:tab w:val="left" w:pos="8194"/>
      </w:tabs>
      <w:spacing w:before="240"/>
      <w:ind w:left="2880" w:hanging="720"/>
    </w:pPr>
  </w:style>
  <w:style w:type="paragraph" w:styleId="Footer">
    <w:name w:val="footer"/>
    <w:basedOn w:val="Normal"/>
    <w:link w:val="FooterChar"/>
    <w:rsid w:val="002E07B9"/>
    <w:pPr>
      <w:tabs>
        <w:tab w:val="center" w:pos="5040"/>
        <w:tab w:val="right" w:pos="9360"/>
      </w:tabs>
    </w:pPr>
    <w:rPr>
      <w:rFonts w:eastAsia="Times New Roman"/>
      <w:lang w:eastAsia="en-US" w:bidi="ar-SA"/>
    </w:rPr>
  </w:style>
  <w:style w:type="character" w:customStyle="1" w:styleId="FooterChar">
    <w:name w:val="Footer Char"/>
    <w:basedOn w:val="DefaultParagraphFont"/>
    <w:link w:val="Footer"/>
    <w:rsid w:val="002E07B9"/>
    <w:rPr>
      <w:rFonts w:ascii="Times New Roman" w:eastAsia="Times New Roman" w:hAnsi="Times New Roman" w:cs="Times New Roman"/>
      <w:sz w:val="24"/>
      <w:szCs w:val="24"/>
    </w:rPr>
  </w:style>
  <w:style w:type="paragraph" w:customStyle="1" w:styleId="PFEText">
    <w:name w:val="PFE Text"/>
    <w:basedOn w:val="Normal"/>
    <w:link w:val="PFETextChar"/>
    <w:rsid w:val="002E07B9"/>
    <w:rPr>
      <w:rFonts w:ascii="EngraversGothic BT" w:hAnsi="EngraversGothic BT"/>
      <w:sz w:val="16"/>
    </w:rPr>
  </w:style>
  <w:style w:type="paragraph" w:styleId="PlainText">
    <w:name w:val="Plain Text"/>
    <w:basedOn w:val="Normal"/>
    <w:link w:val="PlainTextChar"/>
    <w:rsid w:val="002E07B9"/>
    <w:rPr>
      <w:rFonts w:cs="Courier New"/>
    </w:rPr>
  </w:style>
  <w:style w:type="character" w:customStyle="1" w:styleId="PlainTextChar">
    <w:name w:val="Plain Text Char"/>
    <w:basedOn w:val="DefaultParagraphFont"/>
    <w:link w:val="PlainText"/>
    <w:rsid w:val="002E07B9"/>
    <w:rPr>
      <w:rFonts w:ascii="Times New Roman" w:eastAsia="SimSun" w:hAnsi="Times New Roman" w:cs="Courier New"/>
      <w:sz w:val="24"/>
      <w:szCs w:val="24"/>
      <w:lang w:eastAsia="zh-CN" w:bidi="he-IL"/>
    </w:rPr>
  </w:style>
  <w:style w:type="paragraph" w:customStyle="1" w:styleId="ClientMatter">
    <w:name w:val="ClientMatter"/>
    <w:next w:val="Normal"/>
    <w:rsid w:val="002E07B9"/>
    <w:pPr>
      <w:spacing w:after="220" w:line="240" w:lineRule="auto"/>
      <w:ind w:right="-792"/>
      <w:jc w:val="right"/>
    </w:pPr>
    <w:rPr>
      <w:rFonts w:ascii="EngraversGothic BT" w:eastAsia="Times New Roman" w:hAnsi="EngraversGothic BT" w:cs="Times New Roman"/>
      <w:sz w:val="16"/>
      <w:szCs w:val="20"/>
    </w:rPr>
  </w:style>
  <w:style w:type="paragraph" w:customStyle="1" w:styleId="Confidential">
    <w:name w:val="Confidential"/>
    <w:basedOn w:val="Normal"/>
    <w:rsid w:val="002E07B9"/>
    <w:pPr>
      <w:jc w:val="right"/>
    </w:pPr>
  </w:style>
  <w:style w:type="paragraph" w:styleId="EnvelopeAddress">
    <w:name w:val="envelope address"/>
    <w:basedOn w:val="Normal"/>
    <w:rsid w:val="002E07B9"/>
    <w:pPr>
      <w:framePr w:w="7920" w:h="1980" w:hRule="exact" w:hSpace="180" w:wrap="auto" w:hAnchor="page" w:xAlign="center" w:yAlign="bottom"/>
      <w:ind w:left="2880"/>
    </w:pPr>
    <w:rPr>
      <w:rFonts w:eastAsia="Times New Roman"/>
      <w:lang w:eastAsia="en-US" w:bidi="ar-SA"/>
    </w:rPr>
  </w:style>
  <w:style w:type="paragraph" w:styleId="EnvelopeReturn">
    <w:name w:val="envelope return"/>
    <w:basedOn w:val="Normal"/>
    <w:rsid w:val="002E07B9"/>
    <w:rPr>
      <w:rFonts w:eastAsia="Times New Roman"/>
      <w:sz w:val="20"/>
      <w:lang w:eastAsia="en-US" w:bidi="ar-SA"/>
    </w:rPr>
  </w:style>
  <w:style w:type="paragraph" w:customStyle="1" w:styleId="FooterLandscape">
    <w:name w:val="Footer Landscape"/>
    <w:aliases w:val="fl"/>
    <w:basedOn w:val="Footer"/>
    <w:rsid w:val="002E07B9"/>
    <w:pPr>
      <w:tabs>
        <w:tab w:val="clear" w:pos="5040"/>
        <w:tab w:val="clear" w:pos="9360"/>
        <w:tab w:val="center" w:pos="6480"/>
        <w:tab w:val="right" w:pos="12960"/>
      </w:tabs>
    </w:pPr>
    <w:rPr>
      <w:rFonts w:eastAsia="SimSun"/>
      <w:lang w:eastAsia="zh-CN" w:bidi="he-IL"/>
    </w:rPr>
  </w:style>
  <w:style w:type="character" w:styleId="FootnoteReference">
    <w:name w:val="footnote reference"/>
    <w:basedOn w:val="DefaultParagraphFont"/>
    <w:uiPriority w:val="99"/>
    <w:semiHidden/>
    <w:rsid w:val="002E07B9"/>
    <w:rPr>
      <w:vertAlign w:val="superscript"/>
    </w:rPr>
  </w:style>
  <w:style w:type="paragraph" w:styleId="Header">
    <w:name w:val="header"/>
    <w:basedOn w:val="Normal"/>
    <w:link w:val="HeaderChar"/>
    <w:uiPriority w:val="99"/>
    <w:unhideWhenUsed/>
    <w:rsid w:val="002E07B9"/>
    <w:pPr>
      <w:tabs>
        <w:tab w:val="center" w:pos="4680"/>
        <w:tab w:val="right" w:pos="9360"/>
      </w:tabs>
    </w:pPr>
  </w:style>
  <w:style w:type="character" w:customStyle="1" w:styleId="HeaderChar">
    <w:name w:val="Header Char"/>
    <w:basedOn w:val="DefaultParagraphFont"/>
    <w:link w:val="Header"/>
    <w:uiPriority w:val="99"/>
    <w:rsid w:val="002E07B9"/>
    <w:rPr>
      <w:rFonts w:ascii="Times New Roman" w:eastAsia="SimSun" w:hAnsi="Times New Roman" w:cs="Times New Roman"/>
      <w:sz w:val="24"/>
      <w:szCs w:val="24"/>
      <w:lang w:eastAsia="zh-CN" w:bidi="he-IL"/>
    </w:rPr>
  </w:style>
  <w:style w:type="character" w:customStyle="1" w:styleId="ShortOutline1Char">
    <w:name w:val="ShortOutline1 Char"/>
    <w:link w:val="ShortOutline1"/>
    <w:rsid w:val="00C75FCE"/>
    <w:rPr>
      <w:rFonts w:ascii="Times New Roman" w:eastAsia="SimSun" w:hAnsi="Times New Roman" w:cs="Times New Roman"/>
      <w:sz w:val="24"/>
      <w:szCs w:val="24"/>
      <w:lang w:eastAsia="zh-CN" w:bidi="he-IL"/>
    </w:rPr>
  </w:style>
  <w:style w:type="numbering" w:customStyle="1" w:styleId="ShortOutlineList0">
    <w:name w:val="ShortOutlineList"/>
    <w:basedOn w:val="NoList"/>
    <w:rsid w:val="00C75FCE"/>
    <w:pPr>
      <w:numPr>
        <w:numId w:val="26"/>
      </w:numPr>
    </w:pPr>
  </w:style>
  <w:style w:type="paragraph" w:customStyle="1" w:styleId="HeadingTOC2">
    <w:name w:val="Heading: TOC2"/>
    <w:aliases w:val="ht2"/>
    <w:basedOn w:val="HeadingLeftBold"/>
    <w:next w:val="SinglePara"/>
    <w:link w:val="HeadingTOC2Char"/>
    <w:qFormat/>
    <w:rsid w:val="00C75FCE"/>
    <w:pPr>
      <w:spacing w:before="120" w:after="120"/>
      <w:outlineLvl w:val="1"/>
    </w:pPr>
    <w:rPr>
      <w:rFonts w:ascii="Times New Roman" w:eastAsia="Times New Roman" w:hAnsi="Times New Roman"/>
      <w:b w:val="0"/>
      <w:u w:val="single"/>
    </w:rPr>
  </w:style>
  <w:style w:type="character" w:customStyle="1" w:styleId="HeadingTOC2Char">
    <w:name w:val="Heading: TOC2 Char"/>
    <w:aliases w:val="ht2 Char"/>
    <w:link w:val="HeadingTOC2"/>
    <w:rsid w:val="00C75FCE"/>
    <w:rPr>
      <w:rFonts w:ascii="Times New Roman" w:eastAsia="Times New Roman" w:hAnsi="Times New Roman" w:cs="Times New Roman"/>
      <w:bCs/>
      <w:sz w:val="24"/>
      <w:szCs w:val="24"/>
      <w:u w:val="single"/>
      <w:lang w:eastAsia="zh-CN" w:bidi="he-IL"/>
    </w:rPr>
  </w:style>
  <w:style w:type="character" w:customStyle="1" w:styleId="PFETextChar">
    <w:name w:val="PFE Text Char"/>
    <w:basedOn w:val="DefaultParagraphFont"/>
    <w:link w:val="PFEText"/>
    <w:rsid w:val="002339F8"/>
    <w:rPr>
      <w:rFonts w:ascii="EngraversGothic BT" w:eastAsia="SimSun" w:hAnsi="EngraversGothic BT" w:cs="Times New Roman"/>
      <w:sz w:val="16"/>
      <w:szCs w:val="24"/>
      <w:lang w:eastAsia="zh-CN" w:bidi="he-IL"/>
    </w:rPr>
  </w:style>
  <w:style w:type="character" w:customStyle="1" w:styleId="FooterBChar">
    <w:name w:val="Footer B Char"/>
    <w:basedOn w:val="PFETextChar"/>
    <w:link w:val="FooterB"/>
    <w:rsid w:val="009C3BE2"/>
    <w:rPr>
      <w:rFonts w:ascii="Times New Roman" w:eastAsia="SimSun" w:hAnsi="Times New Roman" w:cs="Times New Roman"/>
      <w:sz w:val="15"/>
      <w:szCs w:val="24"/>
      <w:lang w:eastAsia="zh-CN" w:bidi="he-IL"/>
    </w:rPr>
  </w:style>
  <w:style w:type="character" w:customStyle="1" w:styleId="balancedheadline">
    <w:name w:val="balancedheadline"/>
    <w:basedOn w:val="DefaultParagraphFont"/>
    <w:rsid w:val="001022D6"/>
  </w:style>
  <w:style w:type="character" w:styleId="Hyperlink">
    <w:name w:val="Hyperlink"/>
    <w:basedOn w:val="DefaultParagraphFont"/>
    <w:uiPriority w:val="99"/>
    <w:semiHidden/>
    <w:unhideWhenUsed/>
    <w:rsid w:val="00A020AB"/>
    <w:rPr>
      <w:strike w:val="0"/>
      <w:dstrike w:val="0"/>
      <w:color w:val="005AAA"/>
      <w:u w:val="none"/>
      <w:effect w:val="none"/>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envelope address" w:uiPriority="0"/>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139"/>
    <w:pPr>
      <w:spacing w:after="0" w:line="240" w:lineRule="auto"/>
    </w:pPr>
    <w:rPr>
      <w:rFonts w:ascii="Times New Roman" w:eastAsia="SimSun" w:hAnsi="Times New Roman" w:cs="Times New Roman"/>
      <w:sz w:val="24"/>
      <w:szCs w:val="24"/>
      <w:lang w:eastAsia="zh-CN" w:bidi="he-IL"/>
    </w:rPr>
  </w:style>
  <w:style w:type="paragraph" w:styleId="Heading1">
    <w:name w:val="heading 1"/>
    <w:basedOn w:val="Normal"/>
    <w:next w:val="Normal"/>
    <w:link w:val="Heading1Char"/>
    <w:uiPriority w:val="19"/>
    <w:unhideWhenUsed/>
    <w:rsid w:val="00C672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9"/>
    <w:unhideWhenUsed/>
    <w:rsid w:val="00C6727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
    <w:name w:val="(a)(b)(c)"/>
    <w:basedOn w:val="Normal"/>
    <w:uiPriority w:val="4"/>
    <w:rsid w:val="00C6727F"/>
    <w:pPr>
      <w:numPr>
        <w:ilvl w:val="2"/>
        <w:numId w:val="14"/>
      </w:numPr>
      <w:spacing w:before="240" w:after="240"/>
    </w:pPr>
  </w:style>
  <w:style w:type="paragraph" w:customStyle="1" w:styleId="iiiiii">
    <w:name w:val="(i)(ii)(iii)"/>
    <w:basedOn w:val="Normal"/>
    <w:uiPriority w:val="4"/>
    <w:rsid w:val="00C6727F"/>
    <w:pPr>
      <w:numPr>
        <w:ilvl w:val="3"/>
        <w:numId w:val="14"/>
      </w:numPr>
      <w:spacing w:before="240" w:after="240"/>
    </w:pPr>
  </w:style>
  <w:style w:type="paragraph" w:customStyle="1" w:styleId="Answer">
    <w:name w:val="Answer"/>
    <w:aliases w:val="an"/>
    <w:basedOn w:val="Normal"/>
    <w:next w:val="Normal"/>
    <w:uiPriority w:val="4"/>
    <w:rsid w:val="00C6727F"/>
    <w:pPr>
      <w:numPr>
        <w:ilvl w:val="6"/>
        <w:numId w:val="14"/>
      </w:numPr>
      <w:spacing w:before="240"/>
    </w:pPr>
  </w:style>
  <w:style w:type="paragraph" w:styleId="BalloonText">
    <w:name w:val="Balloon Text"/>
    <w:basedOn w:val="Normal"/>
    <w:link w:val="BalloonTextChar"/>
    <w:uiPriority w:val="99"/>
    <w:semiHidden/>
    <w:unhideWhenUsed/>
    <w:rsid w:val="00C6727F"/>
    <w:rPr>
      <w:rFonts w:ascii="Tahoma" w:hAnsi="Tahoma" w:cs="Tahoma"/>
      <w:sz w:val="16"/>
      <w:szCs w:val="16"/>
    </w:rPr>
  </w:style>
  <w:style w:type="character" w:customStyle="1" w:styleId="BalloonTextChar">
    <w:name w:val="Balloon Text Char"/>
    <w:basedOn w:val="DefaultParagraphFont"/>
    <w:link w:val="BalloonText"/>
    <w:uiPriority w:val="99"/>
    <w:semiHidden/>
    <w:rsid w:val="00C6727F"/>
    <w:rPr>
      <w:rFonts w:ascii="Tahoma" w:eastAsiaTheme="minorEastAsia" w:hAnsi="Tahoma" w:cs="Tahoma"/>
      <w:sz w:val="16"/>
      <w:szCs w:val="16"/>
      <w:lang w:eastAsia="zh-CN"/>
    </w:rPr>
  </w:style>
  <w:style w:type="table" w:customStyle="1" w:styleId="BandedTable">
    <w:name w:val="Banded Table"/>
    <w:basedOn w:val="TableNormal"/>
    <w:uiPriority w:val="99"/>
    <w:rsid w:val="00C6727F"/>
    <w:pPr>
      <w:spacing w:after="0" w:line="240" w:lineRule="auto"/>
    </w:pPr>
    <w:rPr>
      <w:rFonts w:eastAsiaTheme="minorEastAsia"/>
      <w:sz w:val="24"/>
      <w:szCs w:val="24"/>
      <w:lang w:eastAsia="zh-C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86" w:type="dxa"/>
        <w:bottom w:w="29" w:type="dxa"/>
        <w:right w:w="86" w:type="dxa"/>
      </w:tblCellMar>
    </w:tblPr>
    <w:trPr>
      <w:cantSplit/>
    </w:trPr>
    <w:tcPr>
      <w:vAlign w:val="bottom"/>
    </w:tcPr>
    <w:tblStylePr w:type="firstRow">
      <w:pPr>
        <w:jc w:val="center"/>
      </w:pPr>
      <w:rPr>
        <w:b/>
        <w:color w:val="auto"/>
      </w:rPr>
      <w:tblPr/>
      <w:tcPr>
        <w:shd w:val="clear" w:color="auto" w:fill="D9D9D9" w:themeFill="background1" w:themeFillShade="D9"/>
      </w:tcPr>
    </w:tblStylePr>
    <w:tblStylePr w:type="band2Horz">
      <w:tblPr/>
      <w:tcPr>
        <w:shd w:val="clear" w:color="auto" w:fill="F2F2F2" w:themeFill="background1" w:themeFillShade="F2"/>
      </w:tcPr>
    </w:tblStylePr>
  </w:style>
  <w:style w:type="character" w:customStyle="1" w:styleId="BracketedComment">
    <w:name w:val="Bracketed Comment"/>
    <w:aliases w:val="br"/>
    <w:basedOn w:val="DefaultParagraphFont"/>
    <w:uiPriority w:val="9"/>
    <w:rsid w:val="00C6727F"/>
    <w:rPr>
      <w:b/>
    </w:rPr>
  </w:style>
  <w:style w:type="paragraph" w:customStyle="1" w:styleId="BulletPara">
    <w:name w:val="Bullet Para"/>
    <w:aliases w:val="bp"/>
    <w:basedOn w:val="Normal"/>
    <w:uiPriority w:val="4"/>
    <w:qFormat/>
    <w:rsid w:val="00C6727F"/>
    <w:pPr>
      <w:numPr>
        <w:numId w:val="7"/>
      </w:numPr>
    </w:pPr>
  </w:style>
  <w:style w:type="paragraph" w:customStyle="1" w:styleId="BulletParaAlt">
    <w:name w:val="Bullet Para Alt"/>
    <w:aliases w:val="bpa"/>
    <w:basedOn w:val="Normal"/>
    <w:uiPriority w:val="4"/>
    <w:rsid w:val="00C6727F"/>
    <w:pPr>
      <w:numPr>
        <w:ilvl w:val="2"/>
        <w:numId w:val="7"/>
      </w:numPr>
    </w:pPr>
  </w:style>
  <w:style w:type="paragraph" w:customStyle="1" w:styleId="BulletPara2">
    <w:name w:val="Bullet Para2"/>
    <w:aliases w:val="bp2"/>
    <w:basedOn w:val="Normal"/>
    <w:uiPriority w:val="4"/>
    <w:rsid w:val="00C6727F"/>
    <w:pPr>
      <w:numPr>
        <w:ilvl w:val="1"/>
        <w:numId w:val="7"/>
      </w:numPr>
    </w:pPr>
  </w:style>
  <w:style w:type="character" w:customStyle="1" w:styleId="Citation">
    <w:name w:val="Citation"/>
    <w:aliases w:val="ct"/>
    <w:basedOn w:val="DefaultParagraphFont"/>
    <w:uiPriority w:val="9"/>
    <w:rsid w:val="00C6727F"/>
    <w:rPr>
      <w:u w:val="single"/>
    </w:rPr>
  </w:style>
  <w:style w:type="paragraph" w:customStyle="1" w:styleId="CoverCenter">
    <w:name w:val="Cover: Center"/>
    <w:aliases w:val="cc"/>
    <w:basedOn w:val="Normal"/>
    <w:rsid w:val="00C6727F"/>
    <w:pPr>
      <w:keepLines/>
      <w:spacing w:before="120"/>
      <w:jc w:val="center"/>
    </w:pPr>
    <w:rPr>
      <w:b/>
    </w:rPr>
  </w:style>
  <w:style w:type="paragraph" w:customStyle="1" w:styleId="CoverCenterLarge">
    <w:name w:val="Cover: CenterLarge"/>
    <w:aliases w:val="ccl"/>
    <w:basedOn w:val="Normal"/>
    <w:rsid w:val="00C6727F"/>
    <w:pPr>
      <w:keepLines/>
      <w:spacing w:before="200" w:after="120"/>
      <w:jc w:val="center"/>
    </w:pPr>
    <w:rPr>
      <w:b/>
      <w:bCs/>
      <w:sz w:val="32"/>
      <w:szCs w:val="32"/>
    </w:rPr>
  </w:style>
  <w:style w:type="paragraph" w:customStyle="1" w:styleId="CoverDivider">
    <w:name w:val="Cover: Divider"/>
    <w:aliases w:val="cd"/>
    <w:basedOn w:val="Normal"/>
    <w:next w:val="Normal"/>
    <w:rsid w:val="00C6727F"/>
    <w:pPr>
      <w:jc w:val="center"/>
    </w:pPr>
    <w:rPr>
      <w:sz w:val="16"/>
      <w:u w:val="single"/>
    </w:rPr>
  </w:style>
  <w:style w:type="paragraph" w:customStyle="1" w:styleId="CoverPara">
    <w:name w:val="Cover: Para"/>
    <w:aliases w:val="cp"/>
    <w:basedOn w:val="Normal"/>
    <w:rsid w:val="00C6727F"/>
    <w:pPr>
      <w:spacing w:before="120"/>
      <w:jc w:val="both"/>
    </w:pPr>
    <w:rPr>
      <w:sz w:val="20"/>
    </w:rPr>
  </w:style>
  <w:style w:type="table" w:styleId="DarkList">
    <w:name w:val="Dark List"/>
    <w:basedOn w:val="TableNormal"/>
    <w:uiPriority w:val="70"/>
    <w:rsid w:val="00C6727F"/>
    <w:pPr>
      <w:spacing w:after="0" w:line="240" w:lineRule="auto"/>
    </w:pPr>
    <w:rPr>
      <w:rFonts w:eastAsiaTheme="minorEastAsia"/>
      <w:color w:val="FFFFFF" w:themeColor="background1"/>
      <w:sz w:val="24"/>
      <w:szCs w:val="24"/>
      <w:lang w:eastAsia="zh-CN"/>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customStyle="1" w:styleId="DefinedTerm">
    <w:name w:val="Defined Term"/>
    <w:aliases w:val="dt"/>
    <w:basedOn w:val="DefaultParagraphFont"/>
    <w:rsid w:val="00C6727F"/>
    <w:rPr>
      <w:b/>
      <w:bCs/>
    </w:rPr>
  </w:style>
  <w:style w:type="paragraph" w:customStyle="1" w:styleId="DoublePara">
    <w:name w:val="Double Para"/>
    <w:aliases w:val="dp"/>
    <w:basedOn w:val="Normal"/>
    <w:qFormat/>
    <w:rsid w:val="00C6727F"/>
    <w:pPr>
      <w:spacing w:line="480" w:lineRule="auto"/>
      <w:ind w:firstLine="1440"/>
    </w:pPr>
  </w:style>
  <w:style w:type="paragraph" w:customStyle="1" w:styleId="DoubleParaFlush">
    <w:name w:val="Double Para Flush"/>
    <w:aliases w:val="dpf"/>
    <w:basedOn w:val="DoublePara"/>
    <w:next w:val="DoublePara"/>
    <w:rsid w:val="00C6727F"/>
    <w:pPr>
      <w:ind w:firstLine="0"/>
    </w:pPr>
  </w:style>
  <w:style w:type="character" w:customStyle="1" w:styleId="Draftline">
    <w:name w:val="Draftline"/>
    <w:basedOn w:val="DefaultParagraphFont"/>
    <w:semiHidden/>
    <w:rsid w:val="00C6727F"/>
    <w:rPr>
      <w:rFonts w:ascii="Times New Roman" w:hAnsi="Times New Roman" w:cs="Times New Roman"/>
      <w:dstrike w:val="0"/>
      <w:vanish/>
      <w:color w:val="FF0000"/>
      <w:sz w:val="15"/>
      <w:szCs w:val="15"/>
      <w:u w:val="none"/>
      <w:vertAlign w:val="baseline"/>
    </w:rPr>
  </w:style>
  <w:style w:type="table" w:customStyle="1" w:styleId="FinancialTable">
    <w:name w:val="Financial Table"/>
    <w:basedOn w:val="TableNormal"/>
    <w:uiPriority w:val="99"/>
    <w:rsid w:val="00C6727F"/>
    <w:pPr>
      <w:spacing w:after="0" w:line="240" w:lineRule="auto"/>
    </w:pPr>
    <w:rPr>
      <w:rFonts w:eastAsiaTheme="minorEastAsia"/>
      <w:sz w:val="18"/>
      <w:szCs w:val="24"/>
      <w:lang w:eastAsia="zh-CN"/>
    </w:rPr>
    <w:tblPr>
      <w:tblCellMar>
        <w:top w:w="29" w:type="dxa"/>
        <w:left w:w="86" w:type="dxa"/>
        <w:bottom w:w="29" w:type="dxa"/>
        <w:right w:w="86" w:type="dxa"/>
      </w:tblCellMar>
    </w:tblPr>
    <w:trPr>
      <w:cantSplit/>
    </w:trPr>
    <w:tcPr>
      <w:vAlign w:val="bottom"/>
    </w:tcPr>
    <w:tblStylePr w:type="firstRow">
      <w:pPr>
        <w:jc w:val="center"/>
      </w:pPr>
      <w:rPr>
        <w:b/>
      </w:rPr>
      <w:tblPr/>
      <w:trPr>
        <w:cantSplit w:val="0"/>
        <w:tblHeader/>
      </w:trPr>
    </w:tblStylePr>
    <w:tblStylePr w:type="firstCol">
      <w:pPr>
        <w:wordWrap/>
        <w:ind w:hangingChars="120" w:hanging="120"/>
      </w:pPr>
    </w:tblStylePr>
  </w:style>
  <w:style w:type="numbering" w:customStyle="1" w:styleId="FlatBullets">
    <w:name w:val="FlatBullets"/>
    <w:basedOn w:val="NoList"/>
    <w:uiPriority w:val="99"/>
    <w:rsid w:val="00C6727F"/>
    <w:pPr>
      <w:numPr>
        <w:numId w:val="4"/>
      </w:numPr>
    </w:pPr>
  </w:style>
  <w:style w:type="numbering" w:customStyle="1" w:styleId="FlatNumbers">
    <w:name w:val="FlatNumbers"/>
    <w:basedOn w:val="NoList"/>
    <w:uiPriority w:val="99"/>
    <w:rsid w:val="00C6727F"/>
    <w:pPr>
      <w:numPr>
        <w:numId w:val="1"/>
      </w:numPr>
    </w:pPr>
  </w:style>
  <w:style w:type="paragraph" w:customStyle="1" w:styleId="FooterB">
    <w:name w:val="Footer B"/>
    <w:link w:val="FooterBChar"/>
    <w:rsid w:val="009C3BE2"/>
    <w:pPr>
      <w:tabs>
        <w:tab w:val="center" w:pos="4680"/>
        <w:tab w:val="right" w:pos="9360"/>
      </w:tabs>
      <w:spacing w:after="0" w:line="240" w:lineRule="auto"/>
    </w:pPr>
    <w:rPr>
      <w:rFonts w:ascii="Times New Roman" w:eastAsia="SimSun" w:hAnsi="Times New Roman" w:cs="Times New Roman"/>
      <w:sz w:val="15"/>
      <w:szCs w:val="24"/>
      <w:lang w:eastAsia="zh-CN" w:bidi="he-IL"/>
    </w:rPr>
  </w:style>
  <w:style w:type="paragraph" w:styleId="FootnoteText">
    <w:name w:val="footnote text"/>
    <w:basedOn w:val="Normal"/>
    <w:link w:val="FootnoteTextChar"/>
    <w:unhideWhenUsed/>
    <w:rsid w:val="00B22E99"/>
    <w:pPr>
      <w:spacing w:before="120"/>
      <w:ind w:left="360" w:hanging="360"/>
    </w:pPr>
    <w:rPr>
      <w:sz w:val="20"/>
      <w:szCs w:val="20"/>
    </w:rPr>
  </w:style>
  <w:style w:type="character" w:customStyle="1" w:styleId="FootnoteTextChar">
    <w:name w:val="Footnote Text Char"/>
    <w:basedOn w:val="DefaultParagraphFont"/>
    <w:link w:val="FootnoteText"/>
    <w:rsid w:val="00B22E99"/>
    <w:rPr>
      <w:rFonts w:ascii="Times New Roman" w:eastAsia="SimSun" w:hAnsi="Times New Roman" w:cs="Times New Roman"/>
      <w:sz w:val="20"/>
      <w:szCs w:val="20"/>
      <w:lang w:eastAsia="zh-CN" w:bidi="he-IL"/>
    </w:rPr>
  </w:style>
  <w:style w:type="paragraph" w:customStyle="1" w:styleId="FootnoteText2">
    <w:name w:val="Footnote Text2"/>
    <w:basedOn w:val="Normal"/>
    <w:rsid w:val="00C6727F"/>
    <w:pPr>
      <w:spacing w:after="240"/>
      <w:ind w:left="720"/>
    </w:pPr>
  </w:style>
  <w:style w:type="paragraph" w:customStyle="1" w:styleId="Graphic">
    <w:name w:val="Graphic"/>
    <w:aliases w:val="g"/>
    <w:basedOn w:val="Normal"/>
    <w:next w:val="Normal"/>
    <w:rsid w:val="00C6727F"/>
    <w:pPr>
      <w:spacing w:before="240"/>
      <w:jc w:val="center"/>
    </w:pPr>
    <w:rPr>
      <w:sz w:val="16"/>
      <w:szCs w:val="16"/>
    </w:rPr>
  </w:style>
  <w:style w:type="character" w:customStyle="1" w:styleId="Heading1Char">
    <w:name w:val="Heading 1 Char"/>
    <w:basedOn w:val="DefaultParagraphFont"/>
    <w:link w:val="Heading1"/>
    <w:uiPriority w:val="19"/>
    <w:rsid w:val="00C6727F"/>
    <w:rPr>
      <w:rFonts w:asciiTheme="majorHAnsi" w:eastAsiaTheme="majorEastAsia" w:hAnsiTheme="majorHAnsi" w:cstheme="majorBidi"/>
      <w:b/>
      <w:bCs/>
      <w:color w:val="365F91" w:themeColor="accent1" w:themeShade="BF"/>
      <w:sz w:val="28"/>
      <w:szCs w:val="28"/>
      <w:lang w:eastAsia="zh-CN"/>
    </w:rPr>
  </w:style>
  <w:style w:type="character" w:customStyle="1" w:styleId="Heading2Char">
    <w:name w:val="Heading 2 Char"/>
    <w:basedOn w:val="DefaultParagraphFont"/>
    <w:link w:val="Heading2"/>
    <w:uiPriority w:val="19"/>
    <w:rsid w:val="00C6727F"/>
    <w:rPr>
      <w:rFonts w:asciiTheme="majorHAnsi" w:eastAsiaTheme="majorEastAsia" w:hAnsiTheme="majorHAnsi" w:cstheme="majorBidi"/>
      <w:b/>
      <w:bCs/>
      <w:color w:val="4F81BD" w:themeColor="accent1"/>
      <w:sz w:val="26"/>
      <w:szCs w:val="26"/>
      <w:lang w:eastAsia="zh-CN"/>
    </w:rPr>
  </w:style>
  <w:style w:type="paragraph" w:customStyle="1" w:styleId="HeadingCenter">
    <w:name w:val="Heading: Center"/>
    <w:aliases w:val="hc"/>
    <w:basedOn w:val="Normal"/>
    <w:next w:val="Normal"/>
    <w:link w:val="HeadingCenterChar"/>
    <w:rsid w:val="00C6727F"/>
    <w:pPr>
      <w:keepNext/>
      <w:keepLines/>
      <w:spacing w:before="240" w:after="240"/>
      <w:jc w:val="center"/>
    </w:pPr>
    <w:rPr>
      <w:rFonts w:asciiTheme="majorHAnsi" w:hAnsiTheme="majorHAnsi"/>
    </w:rPr>
  </w:style>
  <w:style w:type="character" w:customStyle="1" w:styleId="HeadingCenterChar">
    <w:name w:val="Heading: Center Char"/>
    <w:aliases w:val="hc Char"/>
    <w:basedOn w:val="DefaultParagraphFont"/>
    <w:link w:val="HeadingCenter"/>
    <w:rsid w:val="00C6727F"/>
    <w:rPr>
      <w:rFonts w:asciiTheme="majorHAnsi" w:eastAsiaTheme="minorEastAsia" w:hAnsiTheme="majorHAnsi"/>
      <w:sz w:val="24"/>
      <w:szCs w:val="24"/>
      <w:lang w:eastAsia="zh-CN" w:bidi="he-IL"/>
    </w:rPr>
  </w:style>
  <w:style w:type="paragraph" w:customStyle="1" w:styleId="HeadingCenterBold">
    <w:name w:val="Heading: CenterBold"/>
    <w:aliases w:val="hcb"/>
    <w:basedOn w:val="HeadingCenter"/>
    <w:next w:val="Normal"/>
    <w:qFormat/>
    <w:rsid w:val="00C6727F"/>
    <w:rPr>
      <w:rFonts w:cs="Times New Roman Bold"/>
      <w:b/>
    </w:rPr>
  </w:style>
  <w:style w:type="paragraph" w:customStyle="1" w:styleId="HeadingCenterLarge">
    <w:name w:val="Heading: CenterLarge"/>
    <w:aliases w:val="hcl"/>
    <w:basedOn w:val="HeadingCenter"/>
    <w:next w:val="Normal"/>
    <w:rsid w:val="00C6727F"/>
    <w:rPr>
      <w:b/>
      <w:sz w:val="32"/>
    </w:rPr>
  </w:style>
  <w:style w:type="paragraph" w:customStyle="1" w:styleId="HeadingCenterUnd">
    <w:name w:val="Heading: CenterUnd"/>
    <w:aliases w:val="hcu"/>
    <w:basedOn w:val="HeadingCenter"/>
    <w:next w:val="Normal"/>
    <w:rsid w:val="00C6727F"/>
    <w:rPr>
      <w:u w:val="single"/>
    </w:rPr>
  </w:style>
  <w:style w:type="paragraph" w:customStyle="1" w:styleId="HeadingIndent">
    <w:name w:val="Heading: Indent"/>
    <w:aliases w:val="hi"/>
    <w:basedOn w:val="Normal"/>
    <w:next w:val="Normal"/>
    <w:rsid w:val="00C6727F"/>
    <w:pPr>
      <w:keepNext/>
      <w:keepLines/>
      <w:spacing w:before="240"/>
      <w:ind w:left="360"/>
    </w:pPr>
    <w:rPr>
      <w:rFonts w:asciiTheme="majorHAnsi" w:hAnsiTheme="majorHAnsi"/>
      <w:b/>
      <w:bCs/>
      <w:i/>
    </w:rPr>
  </w:style>
  <w:style w:type="paragraph" w:customStyle="1" w:styleId="HeadingLeftBold">
    <w:name w:val="Heading: LeftBold"/>
    <w:aliases w:val="hlb"/>
    <w:basedOn w:val="Normal"/>
    <w:next w:val="Normal"/>
    <w:link w:val="HeadingLeftBoldChar"/>
    <w:qFormat/>
    <w:rsid w:val="00C6727F"/>
    <w:pPr>
      <w:keepNext/>
      <w:keepLines/>
      <w:spacing w:before="240"/>
    </w:pPr>
    <w:rPr>
      <w:rFonts w:asciiTheme="majorHAnsi" w:hAnsiTheme="majorHAnsi"/>
      <w:b/>
      <w:bCs/>
    </w:rPr>
  </w:style>
  <w:style w:type="character" w:customStyle="1" w:styleId="HeadingLeftBoldChar">
    <w:name w:val="Heading: LeftBold Char"/>
    <w:aliases w:val="hlb Char"/>
    <w:basedOn w:val="DefaultParagraphFont"/>
    <w:link w:val="HeadingLeftBold"/>
    <w:rsid w:val="00C6727F"/>
    <w:rPr>
      <w:rFonts w:asciiTheme="majorHAnsi" w:eastAsiaTheme="minorEastAsia" w:hAnsiTheme="majorHAnsi"/>
      <w:b/>
      <w:bCs/>
      <w:sz w:val="24"/>
      <w:szCs w:val="24"/>
      <w:lang w:eastAsia="zh-CN" w:bidi="he-IL"/>
    </w:rPr>
  </w:style>
  <w:style w:type="paragraph" w:customStyle="1" w:styleId="HeadingLeftBoldItal">
    <w:name w:val="Heading: LeftBoldItal"/>
    <w:aliases w:val="hlbi"/>
    <w:basedOn w:val="HeadingLeftBold"/>
    <w:next w:val="Normal"/>
    <w:rsid w:val="00773AC8"/>
    <w:pPr>
      <w:ind w:left="1440" w:hanging="720"/>
    </w:pPr>
    <w:rPr>
      <w:rFonts w:cs="Times New Roman Bold"/>
      <w:i/>
      <w:iCs/>
    </w:rPr>
  </w:style>
  <w:style w:type="paragraph" w:customStyle="1" w:styleId="HeadingLeftBoldUnd">
    <w:name w:val="Heading: LeftBoldUnd"/>
    <w:aliases w:val="hlbu"/>
    <w:basedOn w:val="HeadingLeftBold"/>
    <w:next w:val="Normal"/>
    <w:rsid w:val="00C6727F"/>
    <w:rPr>
      <w:rFonts w:cs="Times New Roman Bold"/>
      <w:u w:val="single"/>
    </w:rPr>
  </w:style>
  <w:style w:type="paragraph" w:customStyle="1" w:styleId="HeadingLeftItal">
    <w:name w:val="Heading: LeftItal"/>
    <w:aliases w:val="hli"/>
    <w:basedOn w:val="HeadingLeftBold"/>
    <w:next w:val="Normal"/>
    <w:rsid w:val="00C6727F"/>
    <w:rPr>
      <w:b w:val="0"/>
      <w:i/>
    </w:rPr>
  </w:style>
  <w:style w:type="paragraph" w:customStyle="1" w:styleId="HeadingLeftUnd">
    <w:name w:val="Heading: LeftUnd"/>
    <w:aliases w:val="hlu"/>
    <w:basedOn w:val="HeadingLeftBold"/>
    <w:next w:val="Normal"/>
    <w:rsid w:val="00C6727F"/>
    <w:rPr>
      <w:b w:val="0"/>
      <w:u w:val="single"/>
    </w:rPr>
  </w:style>
  <w:style w:type="paragraph" w:customStyle="1" w:styleId="HeadingRight">
    <w:name w:val="Heading: Right"/>
    <w:aliases w:val="hr"/>
    <w:basedOn w:val="Normal"/>
    <w:next w:val="Normal"/>
    <w:rsid w:val="00C6727F"/>
    <w:pPr>
      <w:keepNext/>
      <w:keepLines/>
      <w:spacing w:before="240"/>
      <w:jc w:val="right"/>
    </w:pPr>
    <w:rPr>
      <w:rFonts w:asciiTheme="majorHAnsi" w:hAnsiTheme="majorHAnsi"/>
      <w:u w:val="single"/>
    </w:rPr>
  </w:style>
  <w:style w:type="paragraph" w:customStyle="1" w:styleId="HeadingRightTitle">
    <w:name w:val="Heading: RightTitle"/>
    <w:aliases w:val="hrt"/>
    <w:basedOn w:val="HeadingRight"/>
    <w:next w:val="HeadingCenterBold"/>
    <w:rsid w:val="00C6727F"/>
    <w:pPr>
      <w:spacing w:after="240"/>
    </w:pPr>
    <w:rPr>
      <w:rFonts w:cs="Times New Roman Bold"/>
      <w:b/>
      <w:bCs/>
      <w:u w:val="none"/>
    </w:rPr>
  </w:style>
  <w:style w:type="table" w:customStyle="1" w:styleId="IndentedTable">
    <w:name w:val="Indented Table"/>
    <w:basedOn w:val="TableNormal"/>
    <w:uiPriority w:val="99"/>
    <w:rsid w:val="00C6727F"/>
    <w:pPr>
      <w:spacing w:after="0" w:line="240" w:lineRule="auto"/>
    </w:pPr>
    <w:rPr>
      <w:rFonts w:eastAsiaTheme="minorEastAsia"/>
      <w:sz w:val="24"/>
      <w:szCs w:val="24"/>
      <w:lang w:eastAsia="zh-CN"/>
    </w:rPr>
    <w:tblPr>
      <w:tblInd w:w="720" w:type="dxa"/>
      <w:tblCellMar>
        <w:top w:w="29" w:type="dxa"/>
        <w:left w:w="86" w:type="dxa"/>
        <w:bottom w:w="29" w:type="dxa"/>
        <w:right w:w="86" w:type="dxa"/>
      </w:tblCellMar>
    </w:tblPr>
    <w:trPr>
      <w:cantSplit/>
    </w:trPr>
  </w:style>
  <w:style w:type="paragraph" w:customStyle="1" w:styleId="ListDoublePara">
    <w:name w:val="List Double Para"/>
    <w:aliases w:val="ldp"/>
    <w:basedOn w:val="Normal"/>
    <w:uiPriority w:val="4"/>
    <w:rsid w:val="00C6727F"/>
    <w:pPr>
      <w:numPr>
        <w:ilvl w:val="1"/>
        <w:numId w:val="14"/>
      </w:numPr>
      <w:spacing w:line="480" w:lineRule="auto"/>
    </w:pPr>
  </w:style>
  <w:style w:type="paragraph" w:customStyle="1" w:styleId="ListSinglePara">
    <w:name w:val="List Single Para"/>
    <w:aliases w:val="lsp,ls"/>
    <w:basedOn w:val="Normal"/>
    <w:rsid w:val="00C6727F"/>
    <w:pPr>
      <w:numPr>
        <w:numId w:val="14"/>
      </w:numPr>
    </w:pPr>
  </w:style>
  <w:style w:type="paragraph" w:customStyle="1" w:styleId="NoticeAddress">
    <w:name w:val="Notice Address"/>
    <w:aliases w:val="na"/>
    <w:basedOn w:val="Normal"/>
    <w:next w:val="Normal"/>
    <w:rsid w:val="00C6727F"/>
    <w:pPr>
      <w:keepLines/>
      <w:tabs>
        <w:tab w:val="left" w:pos="2880"/>
      </w:tabs>
      <w:spacing w:before="240"/>
      <w:ind w:left="2160"/>
    </w:pPr>
  </w:style>
  <w:style w:type="paragraph" w:customStyle="1" w:styleId="NoticeHeading">
    <w:name w:val="Notice Heading"/>
    <w:aliases w:val="nh"/>
    <w:basedOn w:val="Normal"/>
    <w:next w:val="NoticeAddress"/>
    <w:rsid w:val="00C6727F"/>
    <w:pPr>
      <w:keepNext/>
      <w:keepLines/>
      <w:spacing w:before="240"/>
      <w:ind w:left="1440"/>
    </w:pPr>
  </w:style>
  <w:style w:type="paragraph" w:customStyle="1" w:styleId="OrdinalPara">
    <w:name w:val="Ordinal Para"/>
    <w:aliases w:val="op"/>
    <w:basedOn w:val="Normal"/>
    <w:uiPriority w:val="4"/>
    <w:rsid w:val="00C6727F"/>
    <w:pPr>
      <w:numPr>
        <w:ilvl w:val="4"/>
        <w:numId w:val="14"/>
      </w:numPr>
    </w:pPr>
  </w:style>
  <w:style w:type="paragraph" w:customStyle="1" w:styleId="Parties">
    <w:name w:val="Parties"/>
    <w:basedOn w:val="Normal"/>
    <w:uiPriority w:val="4"/>
    <w:rsid w:val="00C6727F"/>
    <w:pPr>
      <w:numPr>
        <w:ilvl w:val="7"/>
        <w:numId w:val="14"/>
      </w:numPr>
    </w:pPr>
  </w:style>
  <w:style w:type="paragraph" w:customStyle="1" w:styleId="Question">
    <w:name w:val="Question"/>
    <w:aliases w:val="qt"/>
    <w:basedOn w:val="Normal"/>
    <w:next w:val="Answer"/>
    <w:uiPriority w:val="4"/>
    <w:rsid w:val="00C6727F"/>
    <w:pPr>
      <w:keepNext/>
      <w:keepLines/>
      <w:numPr>
        <w:ilvl w:val="5"/>
        <w:numId w:val="14"/>
      </w:numPr>
      <w:spacing w:before="240"/>
    </w:pPr>
  </w:style>
  <w:style w:type="paragraph" w:customStyle="1" w:styleId="QuoteBlock">
    <w:name w:val="Quote Block"/>
    <w:aliases w:val="qb"/>
    <w:basedOn w:val="Normal"/>
    <w:next w:val="DoubleParaFlush"/>
    <w:qFormat/>
    <w:rsid w:val="00C6727F"/>
    <w:pPr>
      <w:spacing w:after="240"/>
      <w:ind w:left="720" w:right="720"/>
      <w:jc w:val="both"/>
    </w:pPr>
  </w:style>
  <w:style w:type="paragraph" w:customStyle="1" w:styleId="QuoteBlockIndent">
    <w:name w:val="Quote Block Indent"/>
    <w:aliases w:val="qbi"/>
    <w:basedOn w:val="QuoteBlock"/>
    <w:next w:val="DoubleParaFlush"/>
    <w:rsid w:val="00C6727F"/>
    <w:pPr>
      <w:ind w:firstLine="720"/>
    </w:pPr>
  </w:style>
  <w:style w:type="paragraph" w:customStyle="1" w:styleId="Recitals">
    <w:name w:val="Recitals"/>
    <w:basedOn w:val="Normal"/>
    <w:uiPriority w:val="4"/>
    <w:rsid w:val="00C6727F"/>
    <w:pPr>
      <w:numPr>
        <w:ilvl w:val="8"/>
        <w:numId w:val="14"/>
      </w:numPr>
    </w:pPr>
  </w:style>
  <w:style w:type="character" w:customStyle="1" w:styleId="Reference">
    <w:name w:val="Reference"/>
    <w:aliases w:val="rf"/>
    <w:basedOn w:val="DefaultParagraphFont"/>
    <w:uiPriority w:val="9"/>
    <w:rsid w:val="00C6727F"/>
    <w:rPr>
      <w:u w:val="single"/>
    </w:rPr>
  </w:style>
  <w:style w:type="character" w:customStyle="1" w:styleId="Run-inheading">
    <w:name w:val="Run-in heading"/>
    <w:aliases w:val="ri"/>
    <w:basedOn w:val="DefaultParagraphFont"/>
    <w:uiPriority w:val="9"/>
    <w:rsid w:val="00C6727F"/>
    <w:rPr>
      <w:i/>
      <w:iCs/>
    </w:rPr>
  </w:style>
  <w:style w:type="table" w:customStyle="1" w:styleId="ShadedTable">
    <w:name w:val="Shaded Table"/>
    <w:basedOn w:val="TableNormal"/>
    <w:uiPriority w:val="99"/>
    <w:rsid w:val="00C6727F"/>
    <w:pPr>
      <w:spacing w:after="0" w:line="240" w:lineRule="auto"/>
    </w:pPr>
    <w:rPr>
      <w:rFonts w:eastAsiaTheme="minorEastAsia"/>
      <w:sz w:val="24"/>
      <w:szCs w:val="24"/>
      <w:lang w:eastAsia="zh-CN"/>
    </w:rPr>
    <w:tblPr>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rPr>
      <w:cantSplit/>
      <w:jc w:val="center"/>
    </w:trPr>
    <w:tcPr>
      <w:shd w:val="clear" w:color="auto" w:fill="auto"/>
      <w:vAlign w:val="bottom"/>
    </w:tcPr>
    <w:tblStylePr w:type="firstRow">
      <w:pPr>
        <w:jc w:val="center"/>
      </w:pPr>
      <w:rPr>
        <w:b/>
      </w:rPr>
      <w:tblPr/>
      <w:tcPr>
        <w:tcBorders>
          <w:top w:val="double" w:sz="4" w:space="0" w:color="auto"/>
          <w:left w:val="double" w:sz="4" w:space="0" w:color="auto"/>
          <w:bottom w:val="double" w:sz="4" w:space="0" w:color="auto"/>
          <w:right w:val="double" w:sz="4" w:space="0" w:color="auto"/>
          <w:insideH w:val="nil"/>
          <w:insideV w:val="single" w:sz="4" w:space="0" w:color="auto"/>
          <w:tl2br w:val="nil"/>
          <w:tr2bl w:val="nil"/>
        </w:tcBorders>
        <w:shd w:val="clear" w:color="auto" w:fill="D9D9D9" w:themeFill="background1" w:themeFillShade="D9"/>
      </w:tcPr>
    </w:tblStylePr>
  </w:style>
  <w:style w:type="numbering" w:customStyle="1" w:styleId="ShortOutlineList">
    <w:name w:val="ShortOutline List"/>
    <w:uiPriority w:val="99"/>
    <w:rsid w:val="00C6727F"/>
    <w:pPr>
      <w:numPr>
        <w:numId w:val="15"/>
      </w:numPr>
    </w:pPr>
  </w:style>
  <w:style w:type="paragraph" w:customStyle="1" w:styleId="ShortOutline1">
    <w:name w:val="ShortOutline1"/>
    <w:basedOn w:val="Normal"/>
    <w:link w:val="ShortOutline1Char"/>
    <w:rsid w:val="00C6727F"/>
    <w:pPr>
      <w:numPr>
        <w:numId w:val="20"/>
      </w:numPr>
      <w:spacing w:before="240" w:after="240"/>
    </w:pPr>
  </w:style>
  <w:style w:type="paragraph" w:customStyle="1" w:styleId="ShortOutline2">
    <w:name w:val="ShortOutline2"/>
    <w:basedOn w:val="Normal"/>
    <w:rsid w:val="00C6727F"/>
    <w:pPr>
      <w:numPr>
        <w:ilvl w:val="1"/>
        <w:numId w:val="20"/>
      </w:numPr>
      <w:spacing w:before="240" w:after="240"/>
    </w:pPr>
    <w:rPr>
      <w:color w:val="000000"/>
    </w:rPr>
  </w:style>
  <w:style w:type="paragraph" w:customStyle="1" w:styleId="ShortOutline3">
    <w:name w:val="ShortOutline3"/>
    <w:basedOn w:val="Normal"/>
    <w:rsid w:val="00C6727F"/>
    <w:pPr>
      <w:numPr>
        <w:ilvl w:val="2"/>
        <w:numId w:val="20"/>
      </w:numPr>
      <w:spacing w:before="240" w:after="240"/>
    </w:pPr>
    <w:rPr>
      <w:color w:val="000000"/>
    </w:rPr>
  </w:style>
  <w:style w:type="paragraph" w:customStyle="1" w:styleId="ShortOutline4">
    <w:name w:val="ShortOutline4"/>
    <w:basedOn w:val="Normal"/>
    <w:rsid w:val="00C6727F"/>
    <w:pPr>
      <w:numPr>
        <w:ilvl w:val="3"/>
        <w:numId w:val="20"/>
      </w:numPr>
      <w:spacing w:before="240" w:after="240"/>
    </w:pPr>
    <w:rPr>
      <w:color w:val="000000"/>
    </w:rPr>
  </w:style>
  <w:style w:type="paragraph" w:customStyle="1" w:styleId="ShortOutline5">
    <w:name w:val="ShortOutline5"/>
    <w:basedOn w:val="Normal"/>
    <w:rsid w:val="00C6727F"/>
    <w:pPr>
      <w:numPr>
        <w:ilvl w:val="4"/>
        <w:numId w:val="20"/>
      </w:numPr>
      <w:spacing w:before="240" w:after="240"/>
    </w:pPr>
    <w:rPr>
      <w:color w:val="000000"/>
    </w:rPr>
  </w:style>
  <w:style w:type="paragraph" w:customStyle="1" w:styleId="SignatureBlock">
    <w:name w:val="Signature Block"/>
    <w:aliases w:val="sb"/>
    <w:basedOn w:val="Normal"/>
    <w:rsid w:val="00C6727F"/>
    <w:pPr>
      <w:keepLines/>
      <w:tabs>
        <w:tab w:val="left" w:pos="5472"/>
        <w:tab w:val="left" w:pos="6192"/>
        <w:tab w:val="right" w:pos="9360"/>
      </w:tabs>
      <w:spacing w:before="480"/>
      <w:ind w:left="5040"/>
    </w:pPr>
  </w:style>
  <w:style w:type="paragraph" w:customStyle="1" w:styleId="SinglePara">
    <w:name w:val="Single Para"/>
    <w:aliases w:val="sp"/>
    <w:basedOn w:val="Normal"/>
    <w:qFormat/>
    <w:rsid w:val="00C6727F"/>
    <w:pPr>
      <w:spacing w:before="240" w:after="240"/>
      <w:ind w:firstLine="720"/>
    </w:pPr>
  </w:style>
  <w:style w:type="paragraph" w:customStyle="1" w:styleId="SingleParaAlt">
    <w:name w:val="Single Para Alt"/>
    <w:aliases w:val="spa"/>
    <w:basedOn w:val="Normal"/>
    <w:rsid w:val="00C6727F"/>
    <w:pPr>
      <w:spacing w:before="240" w:after="240"/>
      <w:ind w:firstLine="1440"/>
    </w:pPr>
  </w:style>
  <w:style w:type="paragraph" w:customStyle="1" w:styleId="SingleParaFlush">
    <w:name w:val="Single Para Flush"/>
    <w:aliases w:val="spf"/>
    <w:basedOn w:val="SinglePara"/>
    <w:rsid w:val="00C6727F"/>
    <w:pPr>
      <w:ind w:firstLine="0"/>
    </w:pPr>
  </w:style>
  <w:style w:type="paragraph" w:customStyle="1" w:styleId="SubheadBold">
    <w:name w:val="Subhead: Bold"/>
    <w:aliases w:val="shb"/>
    <w:basedOn w:val="Normal"/>
    <w:next w:val="SingleParaFlush"/>
    <w:rsid w:val="00C6727F"/>
    <w:pPr>
      <w:keepNext/>
      <w:keepLines/>
      <w:spacing w:before="240"/>
      <w:ind w:left="720"/>
    </w:pPr>
    <w:rPr>
      <w:rFonts w:asciiTheme="majorHAnsi" w:hAnsiTheme="majorHAnsi"/>
      <w:b/>
    </w:rPr>
  </w:style>
  <w:style w:type="paragraph" w:customStyle="1" w:styleId="SubheadBoldItal">
    <w:name w:val="Subhead: BoldItal"/>
    <w:aliases w:val="shbi"/>
    <w:basedOn w:val="SubheadBold"/>
    <w:next w:val="SingleParaFlush"/>
    <w:rsid w:val="00C6727F"/>
    <w:rPr>
      <w:i/>
    </w:rPr>
  </w:style>
  <w:style w:type="paragraph" w:customStyle="1" w:styleId="SubheadItal">
    <w:name w:val="Subhead: Ital"/>
    <w:aliases w:val="shi"/>
    <w:basedOn w:val="SubheadBold"/>
    <w:next w:val="SingleParaFlush"/>
    <w:rsid w:val="00C6727F"/>
    <w:rPr>
      <w:b w:val="0"/>
      <w:i/>
    </w:rPr>
  </w:style>
  <w:style w:type="numbering" w:customStyle="1" w:styleId="TableFootnotes">
    <w:name w:val="Table Footnotes"/>
    <w:basedOn w:val="NoList"/>
    <w:uiPriority w:val="99"/>
    <w:rsid w:val="00C6727F"/>
    <w:pPr>
      <w:numPr>
        <w:numId w:val="21"/>
      </w:numPr>
    </w:pPr>
  </w:style>
  <w:style w:type="table" w:styleId="TableGrid">
    <w:name w:val="Table Grid"/>
    <w:basedOn w:val="TableNormal"/>
    <w:uiPriority w:val="59"/>
    <w:rsid w:val="00C6727F"/>
    <w:pPr>
      <w:spacing w:after="0" w:line="240" w:lineRule="auto"/>
    </w:pPr>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note">
    <w:name w:val="Table: Footnote"/>
    <w:aliases w:val="tf"/>
    <w:basedOn w:val="Normal"/>
    <w:uiPriority w:val="4"/>
    <w:rsid w:val="00C6727F"/>
    <w:pPr>
      <w:numPr>
        <w:ilvl w:val="1"/>
        <w:numId w:val="23"/>
      </w:numPr>
      <w:spacing w:after="120"/>
    </w:pPr>
    <w:rPr>
      <w:sz w:val="20"/>
      <w:szCs w:val="20"/>
    </w:rPr>
  </w:style>
  <w:style w:type="paragraph" w:customStyle="1" w:styleId="TableFootnoteLine">
    <w:name w:val="Table: Footnote Line"/>
    <w:aliases w:val="tfl"/>
    <w:basedOn w:val="Normal"/>
    <w:next w:val="Normal"/>
    <w:uiPriority w:val="4"/>
    <w:rsid w:val="00C6727F"/>
    <w:pPr>
      <w:keepNext/>
      <w:keepLines/>
      <w:numPr>
        <w:numId w:val="23"/>
      </w:numPr>
      <w:pBdr>
        <w:bottom w:val="single" w:sz="8" w:space="1" w:color="auto"/>
      </w:pBdr>
      <w:ind w:right="6480"/>
    </w:pPr>
  </w:style>
  <w:style w:type="table" w:customStyle="1" w:styleId="TextTable">
    <w:name w:val="Text Table"/>
    <w:basedOn w:val="TableNormal"/>
    <w:uiPriority w:val="99"/>
    <w:rsid w:val="00C6727F"/>
    <w:pPr>
      <w:spacing w:after="0" w:line="240" w:lineRule="auto"/>
    </w:pPr>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blStylePr w:type="firstRow">
      <w:pPr>
        <w:jc w:val="left"/>
      </w:pPr>
      <w:tblPr/>
      <w:trPr>
        <w:tblHeader/>
      </w:trPr>
      <w:tcPr>
        <w:vAlign w:val="bottom"/>
      </w:tcPr>
    </w:tblStylePr>
  </w:style>
  <w:style w:type="paragraph" w:styleId="TOC1">
    <w:name w:val="toc 1"/>
    <w:basedOn w:val="Normal"/>
    <w:next w:val="Normal"/>
    <w:autoRedefine/>
    <w:uiPriority w:val="39"/>
    <w:semiHidden/>
    <w:unhideWhenUsed/>
    <w:rsid w:val="00C6727F"/>
    <w:pPr>
      <w:tabs>
        <w:tab w:val="right" w:leader="dot" w:pos="9360"/>
      </w:tabs>
      <w:spacing w:before="240"/>
      <w:ind w:left="720" w:right="720" w:hanging="720"/>
    </w:pPr>
  </w:style>
  <w:style w:type="paragraph" w:styleId="TOC2">
    <w:name w:val="toc 2"/>
    <w:basedOn w:val="Normal"/>
    <w:next w:val="Normal"/>
    <w:autoRedefine/>
    <w:uiPriority w:val="39"/>
    <w:semiHidden/>
    <w:unhideWhenUsed/>
    <w:rsid w:val="00C6727F"/>
    <w:pPr>
      <w:tabs>
        <w:tab w:val="right" w:leader="dot" w:pos="9360"/>
      </w:tabs>
      <w:spacing w:before="240"/>
      <w:ind w:left="1440" w:right="720" w:hanging="720"/>
    </w:pPr>
  </w:style>
  <w:style w:type="paragraph" w:styleId="TOC3">
    <w:name w:val="toc 3"/>
    <w:basedOn w:val="Normal"/>
    <w:next w:val="Normal"/>
    <w:autoRedefine/>
    <w:uiPriority w:val="39"/>
    <w:semiHidden/>
    <w:unhideWhenUsed/>
    <w:rsid w:val="00C6727F"/>
    <w:pPr>
      <w:tabs>
        <w:tab w:val="right" w:leader="dot" w:pos="9360"/>
      </w:tabs>
      <w:spacing w:before="240"/>
      <w:ind w:left="2160" w:right="720" w:hanging="720"/>
    </w:pPr>
  </w:style>
  <w:style w:type="paragraph" w:styleId="TOC4">
    <w:name w:val="toc 4"/>
    <w:basedOn w:val="Normal"/>
    <w:next w:val="Normal"/>
    <w:autoRedefine/>
    <w:uiPriority w:val="39"/>
    <w:semiHidden/>
    <w:unhideWhenUsed/>
    <w:rsid w:val="00C6727F"/>
    <w:pPr>
      <w:tabs>
        <w:tab w:val="right" w:leader="dot" w:pos="9360"/>
      </w:tabs>
      <w:spacing w:before="240"/>
      <w:ind w:left="2880" w:right="720" w:hanging="720"/>
    </w:pPr>
  </w:style>
  <w:style w:type="paragraph" w:styleId="TOC5">
    <w:name w:val="toc 5"/>
    <w:basedOn w:val="Normal"/>
    <w:next w:val="Normal"/>
    <w:autoRedefine/>
    <w:uiPriority w:val="39"/>
    <w:semiHidden/>
    <w:unhideWhenUsed/>
    <w:rsid w:val="00C6727F"/>
    <w:pPr>
      <w:tabs>
        <w:tab w:val="right" w:leader="dot" w:pos="9360"/>
      </w:tabs>
      <w:spacing w:before="40"/>
      <w:ind w:left="3600" w:right="720" w:hanging="720"/>
    </w:pPr>
  </w:style>
  <w:style w:type="paragraph" w:styleId="TOC6">
    <w:name w:val="toc 6"/>
    <w:basedOn w:val="Normal"/>
    <w:next w:val="Normal"/>
    <w:autoRedefine/>
    <w:uiPriority w:val="39"/>
    <w:semiHidden/>
    <w:unhideWhenUsed/>
    <w:rsid w:val="00C6727F"/>
    <w:pPr>
      <w:tabs>
        <w:tab w:val="right" w:leader="dot" w:pos="9360"/>
      </w:tabs>
      <w:spacing w:before="240"/>
      <w:ind w:left="4320" w:right="720" w:hanging="720"/>
    </w:pPr>
  </w:style>
  <w:style w:type="paragraph" w:styleId="TOC7">
    <w:name w:val="toc 7"/>
    <w:basedOn w:val="Normal"/>
    <w:next w:val="Normal"/>
    <w:autoRedefine/>
    <w:uiPriority w:val="39"/>
    <w:semiHidden/>
    <w:unhideWhenUsed/>
    <w:rsid w:val="00C6727F"/>
    <w:pPr>
      <w:tabs>
        <w:tab w:val="right" w:leader="dot" w:pos="9360"/>
      </w:tabs>
      <w:spacing w:before="240"/>
      <w:ind w:left="5040" w:right="720" w:hanging="720"/>
    </w:pPr>
  </w:style>
  <w:style w:type="paragraph" w:styleId="TOC8">
    <w:name w:val="toc 8"/>
    <w:basedOn w:val="Normal"/>
    <w:next w:val="Normal"/>
    <w:autoRedefine/>
    <w:uiPriority w:val="39"/>
    <w:semiHidden/>
    <w:unhideWhenUsed/>
    <w:rsid w:val="00C6727F"/>
    <w:pPr>
      <w:tabs>
        <w:tab w:val="right" w:leader="dot" w:pos="9360"/>
      </w:tabs>
      <w:spacing w:before="240"/>
      <w:ind w:left="5760" w:right="720" w:hanging="720"/>
    </w:pPr>
  </w:style>
  <w:style w:type="paragraph" w:styleId="TOC9">
    <w:name w:val="toc 9"/>
    <w:basedOn w:val="Normal"/>
    <w:next w:val="Normal"/>
    <w:autoRedefine/>
    <w:uiPriority w:val="39"/>
    <w:semiHidden/>
    <w:unhideWhenUsed/>
    <w:rsid w:val="00C6727F"/>
    <w:pPr>
      <w:tabs>
        <w:tab w:val="right" w:leader="dot" w:pos="9360"/>
      </w:tabs>
      <w:spacing w:before="240"/>
      <w:ind w:left="6480" w:right="720" w:hanging="720"/>
    </w:pPr>
  </w:style>
  <w:style w:type="paragraph" w:customStyle="1" w:styleId="WarningPara">
    <w:name w:val="Warning Para"/>
    <w:aliases w:val="wp"/>
    <w:basedOn w:val="SinglePara"/>
    <w:next w:val="SinglePara"/>
    <w:rsid w:val="00C6727F"/>
    <w:rPr>
      <w:b/>
      <w:caps/>
    </w:rPr>
  </w:style>
  <w:style w:type="paragraph" w:styleId="Salutation">
    <w:name w:val="Salutation"/>
    <w:basedOn w:val="Normal"/>
    <w:next w:val="Normal"/>
    <w:link w:val="SalutationChar"/>
    <w:rsid w:val="002E07B9"/>
    <w:pPr>
      <w:spacing w:before="220" w:after="220"/>
    </w:pPr>
  </w:style>
  <w:style w:type="character" w:customStyle="1" w:styleId="SalutationChar">
    <w:name w:val="Salutation Char"/>
    <w:basedOn w:val="DefaultParagraphFont"/>
    <w:link w:val="Salutation"/>
    <w:rsid w:val="002E07B9"/>
    <w:rPr>
      <w:rFonts w:ascii="Times New Roman" w:eastAsia="SimSun" w:hAnsi="Times New Roman" w:cs="Times New Roman"/>
      <w:sz w:val="24"/>
      <w:szCs w:val="24"/>
      <w:lang w:eastAsia="zh-CN" w:bidi="he-IL"/>
    </w:rPr>
  </w:style>
  <w:style w:type="paragraph" w:customStyle="1" w:styleId="CcList">
    <w:name w:val="Cc List"/>
    <w:basedOn w:val="Normal"/>
    <w:rsid w:val="002E07B9"/>
    <w:pPr>
      <w:keepLines/>
      <w:ind w:left="720" w:hanging="720"/>
    </w:pPr>
  </w:style>
  <w:style w:type="paragraph" w:styleId="Date">
    <w:name w:val="Date"/>
    <w:basedOn w:val="Normal"/>
    <w:next w:val="Normal"/>
    <w:link w:val="DateChar"/>
    <w:rsid w:val="002E07B9"/>
    <w:pPr>
      <w:spacing w:before="480" w:after="960"/>
    </w:pPr>
  </w:style>
  <w:style w:type="character" w:customStyle="1" w:styleId="DateChar">
    <w:name w:val="Date Char"/>
    <w:basedOn w:val="DefaultParagraphFont"/>
    <w:link w:val="Date"/>
    <w:rsid w:val="002E07B9"/>
    <w:rPr>
      <w:rFonts w:ascii="Times New Roman" w:eastAsia="SimSun" w:hAnsi="Times New Roman" w:cs="Times New Roman"/>
      <w:sz w:val="24"/>
      <w:szCs w:val="24"/>
      <w:lang w:eastAsia="zh-CN" w:bidi="he-IL"/>
    </w:rPr>
  </w:style>
  <w:style w:type="paragraph" w:customStyle="1" w:styleId="InsideAddress">
    <w:name w:val="Inside Address"/>
    <w:basedOn w:val="Normal"/>
    <w:rsid w:val="002E07B9"/>
  </w:style>
  <w:style w:type="paragraph" w:customStyle="1" w:styleId="Delivery">
    <w:name w:val="Delivery"/>
    <w:basedOn w:val="Normal"/>
    <w:rsid w:val="002E07B9"/>
    <w:pPr>
      <w:spacing w:after="300" w:line="0" w:lineRule="atLeast"/>
    </w:pPr>
    <w:rPr>
      <w:b/>
      <w:bCs/>
      <w:u w:val="single"/>
    </w:rPr>
  </w:style>
  <w:style w:type="paragraph" w:customStyle="1" w:styleId="ReferenceLine">
    <w:name w:val="Reference Line"/>
    <w:basedOn w:val="Normal"/>
    <w:rsid w:val="002E07B9"/>
    <w:pPr>
      <w:tabs>
        <w:tab w:val="left" w:pos="8194"/>
      </w:tabs>
      <w:spacing w:before="240"/>
      <w:ind w:left="2880" w:hanging="720"/>
    </w:pPr>
  </w:style>
  <w:style w:type="paragraph" w:styleId="Footer">
    <w:name w:val="footer"/>
    <w:basedOn w:val="Normal"/>
    <w:link w:val="FooterChar"/>
    <w:rsid w:val="002E07B9"/>
    <w:pPr>
      <w:tabs>
        <w:tab w:val="center" w:pos="5040"/>
        <w:tab w:val="right" w:pos="9360"/>
      </w:tabs>
    </w:pPr>
    <w:rPr>
      <w:rFonts w:eastAsia="Times New Roman"/>
      <w:lang w:eastAsia="en-US" w:bidi="ar-SA"/>
    </w:rPr>
  </w:style>
  <w:style w:type="character" w:customStyle="1" w:styleId="FooterChar">
    <w:name w:val="Footer Char"/>
    <w:basedOn w:val="DefaultParagraphFont"/>
    <w:link w:val="Footer"/>
    <w:rsid w:val="002E07B9"/>
    <w:rPr>
      <w:rFonts w:ascii="Times New Roman" w:eastAsia="Times New Roman" w:hAnsi="Times New Roman" w:cs="Times New Roman"/>
      <w:sz w:val="24"/>
      <w:szCs w:val="24"/>
    </w:rPr>
  </w:style>
  <w:style w:type="paragraph" w:customStyle="1" w:styleId="PFEText">
    <w:name w:val="PFE Text"/>
    <w:basedOn w:val="Normal"/>
    <w:link w:val="PFETextChar"/>
    <w:rsid w:val="002E07B9"/>
    <w:rPr>
      <w:rFonts w:ascii="EngraversGothic BT" w:hAnsi="EngraversGothic BT"/>
      <w:sz w:val="16"/>
    </w:rPr>
  </w:style>
  <w:style w:type="paragraph" w:styleId="PlainText">
    <w:name w:val="Plain Text"/>
    <w:basedOn w:val="Normal"/>
    <w:link w:val="PlainTextChar"/>
    <w:rsid w:val="002E07B9"/>
    <w:rPr>
      <w:rFonts w:cs="Courier New"/>
    </w:rPr>
  </w:style>
  <w:style w:type="character" w:customStyle="1" w:styleId="PlainTextChar">
    <w:name w:val="Plain Text Char"/>
    <w:basedOn w:val="DefaultParagraphFont"/>
    <w:link w:val="PlainText"/>
    <w:rsid w:val="002E07B9"/>
    <w:rPr>
      <w:rFonts w:ascii="Times New Roman" w:eastAsia="SimSun" w:hAnsi="Times New Roman" w:cs="Courier New"/>
      <w:sz w:val="24"/>
      <w:szCs w:val="24"/>
      <w:lang w:eastAsia="zh-CN" w:bidi="he-IL"/>
    </w:rPr>
  </w:style>
  <w:style w:type="paragraph" w:customStyle="1" w:styleId="ClientMatter">
    <w:name w:val="ClientMatter"/>
    <w:next w:val="Normal"/>
    <w:rsid w:val="002E07B9"/>
    <w:pPr>
      <w:spacing w:after="220" w:line="240" w:lineRule="auto"/>
      <w:ind w:right="-792"/>
      <w:jc w:val="right"/>
    </w:pPr>
    <w:rPr>
      <w:rFonts w:ascii="EngraversGothic BT" w:eastAsia="Times New Roman" w:hAnsi="EngraversGothic BT" w:cs="Times New Roman"/>
      <w:sz w:val="16"/>
      <w:szCs w:val="20"/>
    </w:rPr>
  </w:style>
  <w:style w:type="paragraph" w:customStyle="1" w:styleId="Confidential">
    <w:name w:val="Confidential"/>
    <w:basedOn w:val="Normal"/>
    <w:rsid w:val="002E07B9"/>
    <w:pPr>
      <w:jc w:val="right"/>
    </w:pPr>
  </w:style>
  <w:style w:type="paragraph" w:styleId="EnvelopeAddress">
    <w:name w:val="envelope address"/>
    <w:basedOn w:val="Normal"/>
    <w:rsid w:val="002E07B9"/>
    <w:pPr>
      <w:framePr w:w="7920" w:h="1980" w:hRule="exact" w:hSpace="180" w:wrap="auto" w:hAnchor="page" w:xAlign="center" w:yAlign="bottom"/>
      <w:ind w:left="2880"/>
    </w:pPr>
    <w:rPr>
      <w:rFonts w:eastAsia="Times New Roman"/>
      <w:lang w:eastAsia="en-US" w:bidi="ar-SA"/>
    </w:rPr>
  </w:style>
  <w:style w:type="paragraph" w:styleId="EnvelopeReturn">
    <w:name w:val="envelope return"/>
    <w:basedOn w:val="Normal"/>
    <w:rsid w:val="002E07B9"/>
    <w:rPr>
      <w:rFonts w:eastAsia="Times New Roman"/>
      <w:sz w:val="20"/>
      <w:lang w:eastAsia="en-US" w:bidi="ar-SA"/>
    </w:rPr>
  </w:style>
  <w:style w:type="paragraph" w:customStyle="1" w:styleId="FooterLandscape">
    <w:name w:val="Footer Landscape"/>
    <w:aliases w:val="fl"/>
    <w:basedOn w:val="Footer"/>
    <w:rsid w:val="002E07B9"/>
    <w:pPr>
      <w:tabs>
        <w:tab w:val="clear" w:pos="5040"/>
        <w:tab w:val="clear" w:pos="9360"/>
        <w:tab w:val="center" w:pos="6480"/>
        <w:tab w:val="right" w:pos="12960"/>
      </w:tabs>
    </w:pPr>
    <w:rPr>
      <w:rFonts w:eastAsia="SimSun"/>
      <w:lang w:eastAsia="zh-CN" w:bidi="he-IL"/>
    </w:rPr>
  </w:style>
  <w:style w:type="character" w:styleId="FootnoteReference">
    <w:name w:val="footnote reference"/>
    <w:basedOn w:val="DefaultParagraphFont"/>
    <w:uiPriority w:val="99"/>
    <w:semiHidden/>
    <w:rsid w:val="002E07B9"/>
    <w:rPr>
      <w:vertAlign w:val="superscript"/>
    </w:rPr>
  </w:style>
  <w:style w:type="paragraph" w:styleId="Header">
    <w:name w:val="header"/>
    <w:basedOn w:val="Normal"/>
    <w:link w:val="HeaderChar"/>
    <w:uiPriority w:val="99"/>
    <w:unhideWhenUsed/>
    <w:rsid w:val="002E07B9"/>
    <w:pPr>
      <w:tabs>
        <w:tab w:val="center" w:pos="4680"/>
        <w:tab w:val="right" w:pos="9360"/>
      </w:tabs>
    </w:pPr>
  </w:style>
  <w:style w:type="character" w:customStyle="1" w:styleId="HeaderChar">
    <w:name w:val="Header Char"/>
    <w:basedOn w:val="DefaultParagraphFont"/>
    <w:link w:val="Header"/>
    <w:uiPriority w:val="99"/>
    <w:rsid w:val="002E07B9"/>
    <w:rPr>
      <w:rFonts w:ascii="Times New Roman" w:eastAsia="SimSun" w:hAnsi="Times New Roman" w:cs="Times New Roman"/>
      <w:sz w:val="24"/>
      <w:szCs w:val="24"/>
      <w:lang w:eastAsia="zh-CN" w:bidi="he-IL"/>
    </w:rPr>
  </w:style>
  <w:style w:type="character" w:customStyle="1" w:styleId="ShortOutline1Char">
    <w:name w:val="ShortOutline1 Char"/>
    <w:link w:val="ShortOutline1"/>
    <w:rsid w:val="00C75FCE"/>
    <w:rPr>
      <w:rFonts w:ascii="Times New Roman" w:eastAsia="SimSun" w:hAnsi="Times New Roman" w:cs="Times New Roman"/>
      <w:sz w:val="24"/>
      <w:szCs w:val="24"/>
      <w:lang w:eastAsia="zh-CN" w:bidi="he-IL"/>
    </w:rPr>
  </w:style>
  <w:style w:type="numbering" w:customStyle="1" w:styleId="ShortOutlineList0">
    <w:name w:val="ShortOutlineList"/>
    <w:basedOn w:val="NoList"/>
    <w:rsid w:val="00C75FCE"/>
    <w:pPr>
      <w:numPr>
        <w:numId w:val="26"/>
      </w:numPr>
    </w:pPr>
  </w:style>
  <w:style w:type="paragraph" w:customStyle="1" w:styleId="HeadingTOC2">
    <w:name w:val="Heading: TOC2"/>
    <w:aliases w:val="ht2"/>
    <w:basedOn w:val="HeadingLeftBold"/>
    <w:next w:val="SinglePara"/>
    <w:link w:val="HeadingTOC2Char"/>
    <w:qFormat/>
    <w:rsid w:val="00C75FCE"/>
    <w:pPr>
      <w:spacing w:before="120" w:after="120"/>
      <w:outlineLvl w:val="1"/>
    </w:pPr>
    <w:rPr>
      <w:rFonts w:ascii="Times New Roman" w:eastAsia="Times New Roman" w:hAnsi="Times New Roman"/>
      <w:b w:val="0"/>
      <w:u w:val="single"/>
    </w:rPr>
  </w:style>
  <w:style w:type="character" w:customStyle="1" w:styleId="HeadingTOC2Char">
    <w:name w:val="Heading: TOC2 Char"/>
    <w:aliases w:val="ht2 Char"/>
    <w:link w:val="HeadingTOC2"/>
    <w:rsid w:val="00C75FCE"/>
    <w:rPr>
      <w:rFonts w:ascii="Times New Roman" w:eastAsia="Times New Roman" w:hAnsi="Times New Roman" w:cs="Times New Roman"/>
      <w:bCs/>
      <w:sz w:val="24"/>
      <w:szCs w:val="24"/>
      <w:u w:val="single"/>
      <w:lang w:eastAsia="zh-CN" w:bidi="he-IL"/>
    </w:rPr>
  </w:style>
  <w:style w:type="character" w:customStyle="1" w:styleId="PFETextChar">
    <w:name w:val="PFE Text Char"/>
    <w:basedOn w:val="DefaultParagraphFont"/>
    <w:link w:val="PFEText"/>
    <w:rsid w:val="002339F8"/>
    <w:rPr>
      <w:rFonts w:ascii="EngraversGothic BT" w:eastAsia="SimSun" w:hAnsi="EngraversGothic BT" w:cs="Times New Roman"/>
      <w:sz w:val="16"/>
      <w:szCs w:val="24"/>
      <w:lang w:eastAsia="zh-CN" w:bidi="he-IL"/>
    </w:rPr>
  </w:style>
  <w:style w:type="character" w:customStyle="1" w:styleId="FooterBChar">
    <w:name w:val="Footer B Char"/>
    <w:basedOn w:val="PFETextChar"/>
    <w:link w:val="FooterB"/>
    <w:rsid w:val="009C3BE2"/>
    <w:rPr>
      <w:rFonts w:ascii="Times New Roman" w:eastAsia="SimSun" w:hAnsi="Times New Roman" w:cs="Times New Roman"/>
      <w:sz w:val="15"/>
      <w:szCs w:val="24"/>
      <w:lang w:eastAsia="zh-CN" w:bidi="he-IL"/>
    </w:rPr>
  </w:style>
  <w:style w:type="character" w:customStyle="1" w:styleId="balancedheadline">
    <w:name w:val="balancedheadline"/>
    <w:basedOn w:val="DefaultParagraphFont"/>
    <w:rsid w:val="001022D6"/>
  </w:style>
  <w:style w:type="character" w:styleId="Hyperlink">
    <w:name w:val="Hyperlink"/>
    <w:basedOn w:val="DefaultParagraphFont"/>
    <w:uiPriority w:val="99"/>
    <w:semiHidden/>
    <w:unhideWhenUsed/>
    <w:rsid w:val="00A020AB"/>
    <w:rPr>
      <w:strike w:val="0"/>
      <w:dstrike w:val="0"/>
      <w:color w:val="005AAA"/>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kadden Times NR  (defaul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5411</Words>
  <Characters>30848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Legal Services NYC</Company>
  <LinksUpToDate>false</LinksUpToDate>
  <CharactersWithSpaces>36187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Chelsea Sahai</dc:creator>
  <cp:lastModifiedBy>Janice Chua</cp:lastModifiedBy>
  <cp:revision>5</cp:revision>
  <dcterms:created xsi:type="dcterms:W3CDTF">2019-02-05T14:28:00Z</dcterms:created>
  <dcterms:modified xsi:type="dcterms:W3CDTF">2019-02-05T16:23:00Z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811110</vt:lpwstr>
  </property>
  <property fmtid="{D5CDD505-2E9C-101B-9397-08002B2CF9AE}" pid="3" name="Matter">
    <vt:lpwstr>12455</vt:lpwstr>
  </property>
</Properties>
</file>